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B179B" w14:textId="0173CB69" w:rsidR="00254F12" w:rsidRPr="00862057" w:rsidRDefault="00F50296" w:rsidP="001806EE">
      <w:pPr>
        <w:pStyle w:val="Heading1"/>
        <w:framePr w:wrap="around"/>
      </w:pPr>
      <w:bookmarkStart w:id="0" w:name="_Toc106305998"/>
      <w:r>
        <w:t>Performance assessment</w:t>
      </w:r>
      <w:r w:rsidR="00192984">
        <w:t xml:space="preserve"> </w:t>
      </w:r>
      <w:r w:rsidR="00C83C19">
        <w:t>(1) Model policy</w:t>
      </w:r>
    </w:p>
    <w:p w14:paraId="742572BE" w14:textId="75F3ABB5" w:rsidR="004C1F02" w:rsidRDefault="00192984" w:rsidP="001806EE">
      <w:pPr>
        <w:pStyle w:val="Subtitle"/>
        <w:framePr w:wrap="around"/>
      </w:pPr>
      <w:r>
        <w:t>Template for boards of DEECA agencies</w:t>
      </w:r>
    </w:p>
    <w:p w14:paraId="5BAFD044" w14:textId="77777777" w:rsidR="00254F12" w:rsidRPr="004C1F02" w:rsidRDefault="00254F12" w:rsidP="004C1F02">
      <w:pPr>
        <w:pStyle w:val="xVicLogo"/>
        <w:framePr w:wrap="around"/>
      </w:pPr>
      <w:r w:rsidRPr="004C1F02">
        <w:rPr>
          <w:noProof/>
        </w:rPr>
        <w:drawing>
          <wp:inline distT="0" distB="0" distL="0" distR="0" wp14:anchorId="7E1C7850" wp14:editId="254098F0">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C04917" w14:textId="03B0611D" w:rsidR="00F8387D" w:rsidRDefault="00F8387D" w:rsidP="00F8387D">
      <w:pPr>
        <w:spacing w:before="200"/>
        <w:rPr>
          <w:rFonts w:ascii="Times New Roman" w:hAnsi="Times New Roman"/>
          <w:sz w:val="24"/>
          <w:szCs w:val="24"/>
        </w:rPr>
      </w:pPr>
      <w:r>
        <w:t>Thi</w:t>
      </w:r>
      <w:r w:rsidRPr="001A77B8">
        <w:t xml:space="preserve">s </w:t>
      </w:r>
      <w:r>
        <w:t>model policy is for use by</w:t>
      </w:r>
      <w:r w:rsidRPr="001A77B8">
        <w:t xml:space="preserve"> </w:t>
      </w:r>
      <w:r>
        <w:t xml:space="preserve">boards of </w:t>
      </w:r>
      <w:r w:rsidRPr="001A77B8">
        <w:t>all public entities and other statutory boards, committees, c</w:t>
      </w:r>
      <w:r>
        <w:t>ouncils, panels, etc. in the Department of En</w:t>
      </w:r>
      <w:r w:rsidR="00C93CF4">
        <w:t>ergy, Environment</w:t>
      </w:r>
      <w:r>
        <w:t xml:space="preserve"> and </w:t>
      </w:r>
      <w:r w:rsidR="00C93CF4">
        <w:t xml:space="preserve">Climate Action </w:t>
      </w:r>
      <w:r>
        <w:t>(</w:t>
      </w:r>
      <w:r w:rsidR="00C93CF4" w:rsidRPr="008A7366">
        <w:rPr>
          <w:bCs/>
        </w:rPr>
        <w:t>DEECA</w:t>
      </w:r>
      <w:r>
        <w:t>) portfolio, including major committees of management.</w:t>
      </w:r>
    </w:p>
    <w:p w14:paraId="5C64E0D1" w14:textId="42C25088" w:rsidR="00665916" w:rsidRDefault="00F8387D" w:rsidP="004C1F02">
      <w:pPr>
        <w:sectPr w:rsidR="00665916" w:rsidSect="000A7E36">
          <w:headerReference w:type="even" r:id="rId17"/>
          <w:footerReference w:type="even" r:id="rId18"/>
          <w:footerReference w:type="default" r:id="rId19"/>
          <w:footerReference w:type="first" r:id="rId20"/>
          <w:type w:val="continuous"/>
          <w:pgSz w:w="11907" w:h="16839" w:code="9"/>
          <w:pgMar w:top="737" w:right="851" w:bottom="1701" w:left="851" w:header="284" w:footer="284" w:gutter="0"/>
          <w:cols w:space="454"/>
          <w:noEndnote/>
          <w:titlePg/>
          <w:docGrid w:linePitch="360"/>
        </w:sectPr>
      </w:pPr>
      <w:r w:rsidRPr="008A7366">
        <w:rPr>
          <w:bCs/>
        </w:rPr>
        <w:t>Important:</w:t>
      </w:r>
      <w:r>
        <w:t xml:space="preserve"> prior to using this model </w:t>
      </w:r>
      <w:proofErr w:type="gramStart"/>
      <w:r>
        <w:t>policy</w:t>
      </w:r>
      <w:proofErr w:type="gramEnd"/>
      <w:r>
        <w:t xml:space="preserve"> please read the DE</w:t>
      </w:r>
      <w:r w:rsidR="00C93CF4">
        <w:t>ECA</w:t>
      </w:r>
      <w:r>
        <w:t xml:space="preserve"> guidance note </w:t>
      </w:r>
      <w:r w:rsidRPr="008A7366">
        <w:rPr>
          <w:iCs/>
        </w:rPr>
        <w:t>About the model policy</w:t>
      </w:r>
      <w:r w:rsidRPr="00D34DBE">
        <w:rPr>
          <w:i/>
        </w:rPr>
        <w:t>.</w:t>
      </w:r>
      <w:r w:rsidR="001A7C6D" w:rsidRPr="00427560">
        <w:rPr>
          <w:noProof/>
        </w:rPr>
        <mc:AlternateContent>
          <mc:Choice Requires="wps">
            <w:drawing>
              <wp:anchor distT="0" distB="0" distL="114300" distR="114300" simplePos="0" relativeHeight="251658240" behindDoc="1" locked="1" layoutInCell="1" allowOverlap="1" wp14:anchorId="3A37FD0A" wp14:editId="10F337E9">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639FC1F5">
              <v:shape id="Navy"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6717665,2227580" o:spid="_x0000_s1026" fillcolor="#201547 [3215]" stroked="f" path="m6717068,l,,127,2227567r5666892,-241l67170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w14:anchorId="0360DDD0">
                <v:path arrowok="t"/>
                <w10:wrap anchorx="page" anchory="page"/>
                <w10:anchorlock/>
              </v:shape>
            </w:pict>
          </mc:Fallback>
        </mc:AlternateContent>
      </w:r>
      <w:r w:rsidR="00665916">
        <w:rPr>
          <w:noProof/>
        </w:rPr>
        <w:drawing>
          <wp:anchor distT="0" distB="0" distL="114300" distR="114300" simplePos="0" relativeHeight="251658245" behindDoc="1" locked="1" layoutInCell="1" allowOverlap="1" wp14:anchorId="5DB49FDD" wp14:editId="7565C04B">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5B8EE35F" wp14:editId="13B5A388">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253DD191">
              <v:shape id="RibbonElement2"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255395,893444" o:spid="_x0000_s1026" fillcolor="#00b1a8" stroked="f" path="m1255382,l418833,,,893102r837107,-229l1255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w14:anchorId="248BBC4E">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3A4F6116" wp14:editId="124C6A2D">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2298FED9">
              <v:shape id="RibbonElement3"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48385,449580" o:spid="_x0000_s1026" fillcolor="#88dbdf [3205]" stroked="f" path="m1048296,l211747,,,449198r837120,-241l104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w14:anchorId="7399B555">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18920A61" wp14:editId="35A4F066">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1714A559">
              <v:shape id="RibbonElement4Grp"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4100,893444" o:spid="_x0000_s1026" fillcolor="#201547 [3215]" stroked="f" path="m423494,892873l211747,443674,,892873r423494,xem1053515,449199l841768,,630021,449199r4234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w14:anchorId="0222ADE2">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13A745A2" wp14:editId="132723C2">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7C398552">
              <v:shape id="RibbonElement1"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678304,1781810" o:spid="_x0000_s1026" fillcolor="#004c97 [3204]" stroked="f" path="m1677733,l841171,,,1781251r837107,-242l1677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w14:anchorId="73FC0C18">
                <v:path arrowok="t"/>
                <w10:wrap anchorx="page" anchory="page"/>
                <w10:anchorlock/>
              </v:shape>
            </w:pict>
          </mc:Fallback>
        </mc:AlternateContent>
      </w:r>
    </w:p>
    <w:bookmarkEnd w:id="0"/>
    <w:p w14:paraId="25118C38" w14:textId="1B9C5EE7" w:rsidR="00C337ED" w:rsidRPr="008C06B8" w:rsidRDefault="006A3547" w:rsidP="00D54E8A">
      <w:pPr>
        <w:pStyle w:val="Heading2"/>
        <w:numPr>
          <w:ilvl w:val="0"/>
          <w:numId w:val="46"/>
        </w:numPr>
        <w:spacing w:before="0"/>
      </w:pPr>
      <w:r>
        <w:t>Scope</w:t>
      </w:r>
    </w:p>
    <w:p w14:paraId="182A23D7" w14:textId="77777777" w:rsidR="00D918EF" w:rsidRDefault="00D918EF" w:rsidP="00D918EF">
      <w:r>
        <w:t>This policy sets out how the individual and collective performance of board members will be assessed and, where relevant, how poor performance will be addressed.</w:t>
      </w:r>
    </w:p>
    <w:p w14:paraId="4A5BE785" w14:textId="5E204B63" w:rsidR="00D918EF" w:rsidRDefault="00D54E8A" w:rsidP="00D54E8A">
      <w:pPr>
        <w:pStyle w:val="Heading2"/>
        <w:spacing w:before="0"/>
      </w:pPr>
      <w:r>
        <w:t xml:space="preserve">2. </w:t>
      </w:r>
      <w:r w:rsidR="008E3A0A">
        <w:t>Key principles</w:t>
      </w:r>
    </w:p>
    <w:p w14:paraId="75B900D8" w14:textId="77777777" w:rsidR="00B01309" w:rsidRPr="00413287" w:rsidRDefault="00B01309" w:rsidP="00B01309">
      <w:pPr>
        <w:pStyle w:val="Indent-05hangingPM"/>
        <w:rPr>
          <w:rStyle w:val="Emphasis-Bold"/>
          <w:b w:val="0"/>
          <w:bCs/>
          <w:color w:val="auto"/>
        </w:rPr>
      </w:pPr>
      <w:r w:rsidRPr="00413287">
        <w:rPr>
          <w:rStyle w:val="Emphasis-Bold"/>
          <w:b w:val="0"/>
          <w:bCs/>
        </w:rPr>
        <w:t>a)</w:t>
      </w:r>
      <w:r w:rsidRPr="00413287">
        <w:rPr>
          <w:rStyle w:val="Emphasis-Bold"/>
          <w:b w:val="0"/>
          <w:bCs/>
        </w:rPr>
        <w:tab/>
      </w:r>
      <w:r w:rsidRPr="00590370">
        <w:rPr>
          <w:rStyle w:val="Emphasis-Bold"/>
        </w:rPr>
        <w:t>O</w:t>
      </w:r>
      <w:r w:rsidRPr="00590370">
        <w:rPr>
          <w:rStyle w:val="Emphasis-Bold"/>
          <w:color w:val="auto"/>
        </w:rPr>
        <w:t>bligations</w:t>
      </w:r>
      <w:r w:rsidRPr="00413287">
        <w:rPr>
          <w:rStyle w:val="Emphasis-Bold"/>
          <w:b w:val="0"/>
          <w:bCs/>
          <w:color w:val="auto"/>
        </w:rPr>
        <w:t>: the board acts in accordance with its obligations and with good governance practice.</w:t>
      </w:r>
    </w:p>
    <w:p w14:paraId="55625010" w14:textId="77777777" w:rsidR="00B01309" w:rsidRPr="00413287" w:rsidRDefault="00B01309" w:rsidP="00B01309">
      <w:pPr>
        <w:pStyle w:val="Indent-05hangingPM"/>
        <w:rPr>
          <w:bCs/>
        </w:rPr>
      </w:pPr>
      <w:r w:rsidRPr="00413287">
        <w:rPr>
          <w:bCs/>
        </w:rPr>
        <w:t>b)</w:t>
      </w:r>
      <w:r w:rsidRPr="00413287">
        <w:rPr>
          <w:bCs/>
        </w:rPr>
        <w:tab/>
      </w:r>
      <w:r w:rsidRPr="00590370">
        <w:rPr>
          <w:b/>
        </w:rPr>
        <w:t>Purpose and frequency</w:t>
      </w:r>
      <w:r w:rsidRPr="008A7366">
        <w:rPr>
          <w:bCs/>
        </w:rPr>
        <w:t>:</w:t>
      </w:r>
      <w:r w:rsidRPr="00413287">
        <w:rPr>
          <w:bCs/>
        </w:rPr>
        <w:t xml:space="preserve"> the purpose of performance assessment is to enable performance areas that require improvement to be identified and addressed. Assessment (collective, individual, and chair) occurs at least annually.</w:t>
      </w:r>
    </w:p>
    <w:p w14:paraId="37A64E74" w14:textId="4F7EC0AD" w:rsidR="00B01309" w:rsidRPr="00413287" w:rsidRDefault="00B01309" w:rsidP="00B01309">
      <w:pPr>
        <w:pStyle w:val="Indent-05hangingPM"/>
        <w:rPr>
          <w:bCs/>
        </w:rPr>
      </w:pPr>
      <w:r w:rsidRPr="00413287">
        <w:rPr>
          <w:bCs/>
        </w:rPr>
        <w:t>c)</w:t>
      </w:r>
      <w:r w:rsidRPr="00413287">
        <w:rPr>
          <w:bCs/>
        </w:rPr>
        <w:tab/>
      </w:r>
      <w:proofErr w:type="gramStart"/>
      <w:r w:rsidRPr="00590370">
        <w:rPr>
          <w:b/>
        </w:rPr>
        <w:t>Public</w:t>
      </w:r>
      <w:proofErr w:type="gramEnd"/>
      <w:r w:rsidRPr="00590370">
        <w:rPr>
          <w:b/>
        </w:rPr>
        <w:t xml:space="preserve"> interest</w:t>
      </w:r>
      <w:r w:rsidRPr="008A7366">
        <w:rPr>
          <w:bCs/>
        </w:rPr>
        <w:t>:</w:t>
      </w:r>
      <w:r w:rsidRPr="00413287">
        <w:rPr>
          <w:bCs/>
        </w:rPr>
        <w:t xml:space="preserve"> the board acts in the public interest, collectively and individually. It is in the public interest for performance assessment to be accurate and constructive.</w:t>
      </w:r>
    </w:p>
    <w:p w14:paraId="021C8D6A" w14:textId="4CB27C45" w:rsidR="00B01309" w:rsidRPr="00413287" w:rsidRDefault="00B01309" w:rsidP="00B01309">
      <w:pPr>
        <w:pStyle w:val="Indent-05hangingPM"/>
        <w:rPr>
          <w:bCs/>
        </w:rPr>
      </w:pPr>
      <w:r w:rsidRPr="00413287">
        <w:rPr>
          <w:bCs/>
        </w:rPr>
        <w:t>d)</w:t>
      </w:r>
      <w:r w:rsidRPr="00413287">
        <w:rPr>
          <w:bCs/>
        </w:rPr>
        <w:tab/>
      </w:r>
      <w:r w:rsidRPr="00590370">
        <w:rPr>
          <w:b/>
        </w:rPr>
        <w:t>Collective accountability</w:t>
      </w:r>
      <w:r w:rsidRPr="008A7366">
        <w:rPr>
          <w:bCs/>
        </w:rPr>
        <w:t>:</w:t>
      </w:r>
      <w:r w:rsidRPr="00413287">
        <w:rPr>
          <w:bCs/>
        </w:rPr>
        <w:t xml:space="preserve"> the board is collectively accountable to the Minister for its decisions. Each board member participates actively in each decision.</w:t>
      </w:r>
    </w:p>
    <w:p w14:paraId="1C69C3BF" w14:textId="76565195" w:rsidR="00B01309" w:rsidRPr="00413287" w:rsidRDefault="00B01309" w:rsidP="00B01309">
      <w:pPr>
        <w:pStyle w:val="Indent-05hangingPM"/>
        <w:rPr>
          <w:bCs/>
        </w:rPr>
      </w:pPr>
      <w:r w:rsidRPr="00413287">
        <w:rPr>
          <w:bCs/>
        </w:rPr>
        <w:t>e)</w:t>
      </w:r>
      <w:r w:rsidRPr="00413287">
        <w:rPr>
          <w:bCs/>
        </w:rPr>
        <w:tab/>
      </w:r>
      <w:r w:rsidRPr="00590370">
        <w:rPr>
          <w:b/>
        </w:rPr>
        <w:t>Respect, courtesy, and balance</w:t>
      </w:r>
      <w:r w:rsidRPr="008A7366">
        <w:rPr>
          <w:bCs/>
        </w:rPr>
        <w:t>:</w:t>
      </w:r>
      <w:r w:rsidRPr="00413287">
        <w:rPr>
          <w:bCs/>
        </w:rPr>
        <w:t xml:space="preserve"> board members treat one another with respect and courtesy. They participate in board discussions in an active and constructive manner. There is a balanced opportunity for each board member to ask questions, express ideas, and offer opinions.</w:t>
      </w:r>
    </w:p>
    <w:p w14:paraId="20873E9F" w14:textId="77777777" w:rsidR="00B01309" w:rsidRPr="00413287" w:rsidRDefault="00B01309" w:rsidP="00B01309">
      <w:pPr>
        <w:pStyle w:val="Indent-05hangingPM"/>
        <w:rPr>
          <w:bCs/>
        </w:rPr>
      </w:pPr>
      <w:r w:rsidRPr="00413287">
        <w:rPr>
          <w:bCs/>
        </w:rPr>
        <w:t>f)</w:t>
      </w:r>
      <w:r w:rsidRPr="00413287">
        <w:rPr>
          <w:bCs/>
        </w:rPr>
        <w:tab/>
      </w:r>
      <w:r w:rsidRPr="00590370">
        <w:rPr>
          <w:b/>
        </w:rPr>
        <w:t>Attendance</w:t>
      </w:r>
      <w:r w:rsidRPr="008A7366">
        <w:rPr>
          <w:bCs/>
        </w:rPr>
        <w:t>:</w:t>
      </w:r>
      <w:r w:rsidRPr="00413287">
        <w:rPr>
          <w:bCs/>
        </w:rPr>
        <w:t xml:space="preserve"> board members are expected to attend all board meetings. A minimum attendance of 75% of meetings is required unless good reason exists otherwise.</w:t>
      </w:r>
    </w:p>
    <w:p w14:paraId="7F7A2822" w14:textId="77777777" w:rsidR="00B01309" w:rsidRPr="00413287" w:rsidRDefault="00B01309" w:rsidP="00B01309">
      <w:pPr>
        <w:pStyle w:val="Indent-05hangingPM"/>
        <w:rPr>
          <w:bCs/>
        </w:rPr>
      </w:pPr>
      <w:r w:rsidRPr="00413287">
        <w:rPr>
          <w:bCs/>
        </w:rPr>
        <w:t>g)</w:t>
      </w:r>
      <w:r w:rsidRPr="00413287">
        <w:rPr>
          <w:bCs/>
        </w:rPr>
        <w:tab/>
      </w:r>
      <w:r w:rsidRPr="00590370">
        <w:rPr>
          <w:b/>
        </w:rPr>
        <w:t>Effectiveness</w:t>
      </w:r>
      <w:r w:rsidRPr="008A7366">
        <w:rPr>
          <w:bCs/>
        </w:rPr>
        <w:t>:</w:t>
      </w:r>
      <w:r w:rsidRPr="00413287">
        <w:rPr>
          <w:bCs/>
        </w:rPr>
        <w:t xml:space="preserve"> the board is responsible for its own effectiveness. Each board member makes a significant contribution to the organisation.</w:t>
      </w:r>
    </w:p>
    <w:p w14:paraId="5981CD61" w14:textId="62B77F7F" w:rsidR="00D54E8A" w:rsidRPr="00D54E8A" w:rsidRDefault="00D54E8A" w:rsidP="00D54E8A">
      <w:pPr>
        <w:pStyle w:val="Heading2"/>
        <w:spacing w:before="0"/>
      </w:pPr>
      <w:r>
        <w:t>3. Obligations and good practice</w:t>
      </w:r>
    </w:p>
    <w:p w14:paraId="3390D197" w14:textId="7A9B8F90" w:rsidR="004D0B71" w:rsidRDefault="004D0B71" w:rsidP="004D0B71">
      <w:r>
        <w:t>The board will conduct performance assessment</w:t>
      </w:r>
      <w:r w:rsidR="0076042A">
        <w:t>s</w:t>
      </w:r>
      <w:r>
        <w:t xml:space="preserve"> in accordance with its obligations and with good public sector governance practice, including:</w:t>
      </w:r>
    </w:p>
    <w:p w14:paraId="55C56DD6" w14:textId="77777777" w:rsidR="004D0B71" w:rsidRPr="00981ADD" w:rsidRDefault="004D0B71" w:rsidP="004D0B71">
      <w:pPr>
        <w:pStyle w:val="ListBullet"/>
        <w:keepLines/>
        <w:tabs>
          <w:tab w:val="left" w:pos="284"/>
          <w:tab w:val="left" w:pos="567"/>
          <w:tab w:val="left" w:pos="851"/>
        </w:tabs>
        <w:spacing w:before="100" w:after="100" w:line="260" w:lineRule="atLeast"/>
        <w:ind w:left="284" w:hanging="284"/>
      </w:pPr>
      <w:r>
        <w:t xml:space="preserve">the establishing Act, being </w:t>
      </w:r>
      <w:r w:rsidRPr="00680009">
        <w:rPr>
          <w:rStyle w:val="Emphasis-Italics"/>
        </w:rPr>
        <w:t>[insert</w:t>
      </w:r>
      <w:proofErr w:type="gramStart"/>
      <w:r w:rsidRPr="00680009">
        <w:rPr>
          <w:rStyle w:val="Emphasis-Italics"/>
        </w:rPr>
        <w:t>]</w:t>
      </w:r>
      <w:r>
        <w:rPr>
          <w:rStyle w:val="Emphasis-Italics"/>
        </w:rPr>
        <w:t>;</w:t>
      </w:r>
      <w:proofErr w:type="gramEnd"/>
    </w:p>
    <w:p w14:paraId="12139EBC" w14:textId="77777777" w:rsidR="004D0B71" w:rsidRDefault="004D0B71" w:rsidP="004D0B71">
      <w:pPr>
        <w:pStyle w:val="ListBullet"/>
        <w:keepLines/>
        <w:tabs>
          <w:tab w:val="left" w:pos="284"/>
          <w:tab w:val="left" w:pos="567"/>
          <w:tab w:val="left" w:pos="851"/>
        </w:tabs>
        <w:spacing w:before="100" w:after="100" w:line="260" w:lineRule="atLeast"/>
        <w:ind w:left="284" w:hanging="284"/>
      </w:pPr>
      <w:r>
        <w:t xml:space="preserve">the </w:t>
      </w:r>
      <w:r w:rsidRPr="00981ADD">
        <w:t>public</w:t>
      </w:r>
      <w:r>
        <w:t xml:space="preserve"> sector </w:t>
      </w:r>
      <w:r w:rsidRPr="00981ADD">
        <w:t>values</w:t>
      </w:r>
      <w:r>
        <w:t xml:space="preserve"> in section 7 of the </w:t>
      </w:r>
      <w:r w:rsidRPr="006C63D7">
        <w:rPr>
          <w:i/>
        </w:rPr>
        <w:t>Public Administration Act</w:t>
      </w:r>
      <w:r>
        <w:t xml:space="preserve"> 2004 (‘</w:t>
      </w:r>
      <w:r w:rsidRPr="008A7366">
        <w:rPr>
          <w:bCs/>
        </w:rPr>
        <w:t>PAA</w:t>
      </w:r>
      <w:r w:rsidRPr="006C63D7">
        <w:rPr>
          <w:b/>
        </w:rPr>
        <w:t>’</w:t>
      </w:r>
      <w:r>
        <w:t>);</w:t>
      </w:r>
      <w:r>
        <w:rPr>
          <w:rStyle w:val="FootnoteReference"/>
        </w:rPr>
        <w:footnoteReference w:id="2"/>
      </w:r>
    </w:p>
    <w:p w14:paraId="15BD4CAB" w14:textId="300A0D12" w:rsidR="004D0B71" w:rsidRDefault="004D0B71" w:rsidP="004D0B71">
      <w:pPr>
        <w:pStyle w:val="ListBullet"/>
        <w:keepLines/>
        <w:tabs>
          <w:tab w:val="left" w:pos="284"/>
          <w:tab w:val="left" w:pos="567"/>
          <w:tab w:val="left" w:pos="851"/>
        </w:tabs>
        <w:spacing w:before="100" w:after="100" w:line="260" w:lineRule="atLeast"/>
        <w:ind w:left="284" w:hanging="284"/>
      </w:pPr>
      <w:r>
        <w:t xml:space="preserve">the </w:t>
      </w:r>
      <w:hyperlink r:id="rId22" w:history="1">
        <w:r w:rsidR="003F00F5" w:rsidRPr="00B10114">
          <w:rPr>
            <w:rStyle w:val="Hyperlink"/>
            <w:rFonts w:cs="Arial"/>
          </w:rPr>
          <w:t>Code of Conduct for Directors of Victorian Public Entities</w:t>
        </w:r>
      </w:hyperlink>
      <w:r w:rsidR="003F00F5">
        <w:rPr>
          <w:rFonts w:cs="Arial"/>
        </w:rPr>
        <w:t>;</w:t>
      </w:r>
      <w:r>
        <w:rPr>
          <w:rStyle w:val="FootnoteReference"/>
        </w:rPr>
        <w:footnoteReference w:id="3"/>
      </w:r>
    </w:p>
    <w:p w14:paraId="1A3302B5" w14:textId="77777777" w:rsidR="004D0B71" w:rsidRDefault="004D0B71" w:rsidP="004D0B71">
      <w:pPr>
        <w:pStyle w:val="ListBullet"/>
        <w:keepLines/>
        <w:tabs>
          <w:tab w:val="left" w:pos="284"/>
          <w:tab w:val="left" w:pos="567"/>
          <w:tab w:val="left" w:pos="851"/>
        </w:tabs>
        <w:spacing w:before="100" w:after="100" w:line="260" w:lineRule="atLeast"/>
        <w:ind w:left="284" w:hanging="284"/>
      </w:pPr>
      <w:r>
        <w:t xml:space="preserve">section 79 of the </w:t>
      </w:r>
      <w:proofErr w:type="gramStart"/>
      <w:r>
        <w:t>PAA;</w:t>
      </w:r>
      <w:proofErr w:type="gramEnd"/>
    </w:p>
    <w:p w14:paraId="31FB9147" w14:textId="0CA43C51" w:rsidR="004D0B71" w:rsidRDefault="004D0B71" w:rsidP="004D0B71">
      <w:pPr>
        <w:pStyle w:val="ListBullet"/>
        <w:keepLines/>
        <w:tabs>
          <w:tab w:val="left" w:pos="284"/>
          <w:tab w:val="left" w:pos="567"/>
          <w:tab w:val="left" w:pos="851"/>
        </w:tabs>
        <w:spacing w:before="100" w:after="100" w:line="260" w:lineRule="atLeast"/>
        <w:ind w:left="284" w:hanging="284"/>
      </w:pPr>
      <w:r>
        <w:t xml:space="preserve">government </w:t>
      </w:r>
      <w:proofErr w:type="gramStart"/>
      <w:r>
        <w:t>policy;</w:t>
      </w:r>
      <w:proofErr w:type="gramEnd"/>
    </w:p>
    <w:p w14:paraId="1B011B20" w14:textId="131E9644" w:rsidR="004D0B71" w:rsidRDefault="004D0B71" w:rsidP="004D0B71">
      <w:pPr>
        <w:pStyle w:val="ListBullet"/>
        <w:keepLines/>
        <w:tabs>
          <w:tab w:val="left" w:pos="284"/>
          <w:tab w:val="left" w:pos="567"/>
          <w:tab w:val="left" w:pos="851"/>
        </w:tabs>
        <w:spacing w:before="100" w:after="100" w:line="260" w:lineRule="atLeast"/>
        <w:ind w:left="284" w:hanging="284"/>
      </w:pPr>
      <w:r>
        <w:lastRenderedPageBreak/>
        <w:t xml:space="preserve">any assessment guidelines/requirements issued by the Minister or the Secretary of the Department </w:t>
      </w:r>
      <w:r w:rsidR="00DD78D1">
        <w:t>of Energy, Environment and Climate Action</w:t>
      </w:r>
      <w:r>
        <w:t xml:space="preserve"> (‘</w:t>
      </w:r>
      <w:r w:rsidR="00DD78D1" w:rsidRPr="008A7366">
        <w:rPr>
          <w:bCs/>
        </w:rPr>
        <w:t>DEECA</w:t>
      </w:r>
      <w:r w:rsidRPr="00986AA8">
        <w:t>’</w:t>
      </w:r>
      <w:proofErr w:type="gramStart"/>
      <w:r>
        <w:t>);</w:t>
      </w:r>
      <w:proofErr w:type="gramEnd"/>
    </w:p>
    <w:p w14:paraId="147A554C" w14:textId="77777777" w:rsidR="004D0B71" w:rsidRDefault="004D0B71" w:rsidP="004D0B71">
      <w:pPr>
        <w:pStyle w:val="ListBullet"/>
        <w:keepLines/>
        <w:tabs>
          <w:tab w:val="left" w:pos="284"/>
          <w:tab w:val="left" w:pos="567"/>
          <w:tab w:val="left" w:pos="851"/>
        </w:tabs>
        <w:spacing w:before="100" w:after="100" w:line="260" w:lineRule="atLeast"/>
        <w:ind w:left="284" w:hanging="284"/>
      </w:pPr>
      <w:r>
        <w:t>any other directions, guidelines and/or statements of obligation or</w:t>
      </w:r>
      <w:r w:rsidRPr="004039D7">
        <w:t xml:space="preserve"> </w:t>
      </w:r>
      <w:r>
        <w:t xml:space="preserve">expectation issued by the </w:t>
      </w:r>
      <w:proofErr w:type="gramStart"/>
      <w:r>
        <w:t>Minister;</w:t>
      </w:r>
      <w:proofErr w:type="gramEnd"/>
    </w:p>
    <w:p w14:paraId="342700B4" w14:textId="77777777" w:rsidR="004D0B71" w:rsidRDefault="004D0B71" w:rsidP="004D0B71">
      <w:pPr>
        <w:pStyle w:val="ListBullet"/>
        <w:keepLines/>
        <w:tabs>
          <w:tab w:val="left" w:pos="284"/>
          <w:tab w:val="left" w:pos="567"/>
          <w:tab w:val="left" w:pos="851"/>
        </w:tabs>
        <w:spacing w:before="100" w:after="100" w:line="260" w:lineRule="atLeast"/>
        <w:ind w:left="284" w:hanging="284"/>
      </w:pPr>
      <w:r>
        <w:t>the requirement in section 81(1)(d) of the PAA that adequate procedures be in place for assessing board member’s performance (collective and individual) and for dealing with poor performance</w:t>
      </w:r>
      <w:r w:rsidRPr="0096721E">
        <w:t xml:space="preserve"> </w:t>
      </w:r>
      <w:r>
        <w:t>(if any);</w:t>
      </w:r>
      <w:r>
        <w:rPr>
          <w:rStyle w:val="FootnoteReference"/>
        </w:rPr>
        <w:footnoteReference w:id="4"/>
      </w:r>
      <w:r>
        <w:t xml:space="preserve"> and</w:t>
      </w:r>
    </w:p>
    <w:p w14:paraId="5752C6CA" w14:textId="77777777" w:rsidR="004D0B71" w:rsidRDefault="004D0B71" w:rsidP="004D0B71">
      <w:pPr>
        <w:pStyle w:val="ListBullet"/>
        <w:keepLines/>
        <w:tabs>
          <w:tab w:val="left" w:pos="284"/>
          <w:tab w:val="left" w:pos="567"/>
          <w:tab w:val="left" w:pos="851"/>
        </w:tabs>
        <w:spacing w:before="100" w:after="100" w:line="260" w:lineRule="atLeast"/>
        <w:ind w:left="284" w:hanging="284"/>
      </w:pPr>
      <w:r>
        <w:t>all other laws and obligations that bind the organisation.</w:t>
      </w:r>
    </w:p>
    <w:p w14:paraId="4A2358EB" w14:textId="75674D5C" w:rsidR="004D0B71" w:rsidRPr="00D54E8A" w:rsidRDefault="005912A5" w:rsidP="004D0B71">
      <w:pPr>
        <w:pStyle w:val="Heading2"/>
        <w:spacing w:before="0"/>
      </w:pPr>
      <w:r>
        <w:t>4. Annual performance assessment</w:t>
      </w:r>
    </w:p>
    <w:p w14:paraId="46B21CDA" w14:textId="77777777" w:rsidR="00D53839" w:rsidRPr="000A6B52" w:rsidRDefault="00D53839" w:rsidP="00D53839">
      <w:r w:rsidRPr="000A6B52">
        <w:t>The performance of the board will be assessed on an annual</w:t>
      </w:r>
      <w:r>
        <w:t xml:space="preserve"> </w:t>
      </w:r>
      <w:r w:rsidRPr="000A6B52">
        <w:t>basis, including:</w:t>
      </w:r>
    </w:p>
    <w:p w14:paraId="3A09B7DA" w14:textId="77777777" w:rsidR="00D53839" w:rsidRPr="003C364E" w:rsidRDefault="00D53839" w:rsidP="00D53839">
      <w:pPr>
        <w:pStyle w:val="ListBullet"/>
        <w:keepLines/>
        <w:tabs>
          <w:tab w:val="left" w:pos="284"/>
          <w:tab w:val="left" w:pos="567"/>
          <w:tab w:val="left" w:pos="851"/>
        </w:tabs>
        <w:spacing w:before="100" w:after="100" w:line="260" w:lineRule="atLeast"/>
        <w:ind w:left="284" w:hanging="284"/>
      </w:pPr>
      <w:r w:rsidRPr="003C364E">
        <w:t xml:space="preserve">the collective performance of the </w:t>
      </w:r>
      <w:proofErr w:type="gramStart"/>
      <w:r w:rsidRPr="003C364E">
        <w:t>board;</w:t>
      </w:r>
      <w:proofErr w:type="gramEnd"/>
    </w:p>
    <w:p w14:paraId="21DF0C2D" w14:textId="77777777" w:rsidR="00D53839" w:rsidRPr="003C364E" w:rsidRDefault="00D53839" w:rsidP="00D53839">
      <w:pPr>
        <w:pStyle w:val="ListBullet"/>
        <w:keepLines/>
        <w:tabs>
          <w:tab w:val="left" w:pos="284"/>
          <w:tab w:val="left" w:pos="567"/>
          <w:tab w:val="left" w:pos="851"/>
        </w:tabs>
        <w:spacing w:before="100" w:after="100" w:line="260" w:lineRule="atLeast"/>
        <w:ind w:left="284" w:hanging="284"/>
      </w:pPr>
      <w:r w:rsidRPr="003C364E">
        <w:t>the performance of individual board members; and</w:t>
      </w:r>
    </w:p>
    <w:p w14:paraId="04E2D5FF" w14:textId="77777777" w:rsidR="00D53839" w:rsidRPr="003C364E" w:rsidRDefault="00D53839" w:rsidP="00D53839">
      <w:pPr>
        <w:pStyle w:val="ListBullet"/>
        <w:keepLines/>
        <w:tabs>
          <w:tab w:val="left" w:pos="284"/>
          <w:tab w:val="left" w:pos="567"/>
          <w:tab w:val="left" w:pos="851"/>
        </w:tabs>
        <w:spacing w:before="100" w:after="100" w:line="260" w:lineRule="atLeast"/>
        <w:ind w:left="284" w:hanging="284"/>
      </w:pPr>
      <w:r w:rsidRPr="003C364E">
        <w:t>the performance by the chair of his/her additional duties as chair.</w:t>
      </w:r>
    </w:p>
    <w:p w14:paraId="0D383B3B" w14:textId="77777777" w:rsidR="00D53839" w:rsidRPr="000A6B52" w:rsidRDefault="00D53839" w:rsidP="00D53839">
      <w:r w:rsidRPr="000A6B52">
        <w:t xml:space="preserve">The </w:t>
      </w:r>
      <w:r w:rsidRPr="001500FE">
        <w:rPr>
          <w:rStyle w:val="Emphasis-Bold"/>
        </w:rPr>
        <w:t>purpose</w:t>
      </w:r>
      <w:r w:rsidRPr="000A6B52">
        <w:t xml:space="preserve"> of assessment is to enable performance areas</w:t>
      </w:r>
      <w:r>
        <w:t xml:space="preserve"> </w:t>
      </w:r>
      <w:r w:rsidRPr="000A6B52">
        <w:t>that require improvement to be identified and addressed.</w:t>
      </w:r>
    </w:p>
    <w:p w14:paraId="751AE931" w14:textId="64D17F08" w:rsidR="00A738EE" w:rsidRDefault="009139FF" w:rsidP="009139FF">
      <w:pPr>
        <w:pStyle w:val="Heading2"/>
        <w:spacing w:before="0"/>
      </w:pPr>
      <w:r>
        <w:t>5. Performance assessment plan</w:t>
      </w:r>
    </w:p>
    <w:p w14:paraId="2E32A689" w14:textId="77777777" w:rsidR="00BA51DB" w:rsidRPr="000A6B52" w:rsidRDefault="00BA51DB" w:rsidP="00BA51DB">
      <w:r w:rsidRPr="000A6B52">
        <w:t>The board will document a performance assessment plan for</w:t>
      </w:r>
      <w:r>
        <w:t xml:space="preserve"> </w:t>
      </w:r>
      <w:r w:rsidRPr="000A6B52">
        <w:t>the forthcoming year, or forthcoming cycle of two to three years.</w:t>
      </w:r>
      <w:r>
        <w:t xml:space="preserve"> </w:t>
      </w:r>
      <w:r w:rsidRPr="000A6B52">
        <w:t>The plan will include:</w:t>
      </w:r>
    </w:p>
    <w:p w14:paraId="682BB18E" w14:textId="77777777" w:rsidR="00BA51DB" w:rsidRPr="000A6B52" w:rsidRDefault="00BA51DB" w:rsidP="00BA51DB">
      <w:pPr>
        <w:pStyle w:val="ListBullet"/>
        <w:keepLines/>
        <w:tabs>
          <w:tab w:val="left" w:pos="284"/>
          <w:tab w:val="left" w:pos="567"/>
          <w:tab w:val="left" w:pos="851"/>
        </w:tabs>
        <w:spacing w:before="100" w:after="100" w:line="260" w:lineRule="atLeast"/>
        <w:ind w:left="284" w:hanging="284"/>
      </w:pPr>
      <w:r w:rsidRPr="000A6B52">
        <w:t xml:space="preserve">assessment </w:t>
      </w:r>
      <w:proofErr w:type="gramStart"/>
      <w:r w:rsidRPr="000A6B52">
        <w:t>criteria;</w:t>
      </w:r>
      <w:proofErr w:type="gramEnd"/>
    </w:p>
    <w:p w14:paraId="6F4781FB" w14:textId="77777777" w:rsidR="00BA51DB" w:rsidRPr="000A6B52" w:rsidRDefault="00BA51DB" w:rsidP="00BA51DB">
      <w:pPr>
        <w:pStyle w:val="ListBullet"/>
        <w:keepLines/>
        <w:tabs>
          <w:tab w:val="left" w:pos="284"/>
          <w:tab w:val="left" w:pos="567"/>
          <w:tab w:val="left" w:pos="851"/>
        </w:tabs>
        <w:spacing w:before="100" w:after="100" w:line="260" w:lineRule="atLeast"/>
        <w:ind w:left="284" w:hanging="284"/>
      </w:pPr>
      <w:r w:rsidRPr="000A6B52">
        <w:t xml:space="preserve">assessment </w:t>
      </w:r>
      <w:proofErr w:type="gramStart"/>
      <w:r w:rsidRPr="000A6B52">
        <w:t>methods;</w:t>
      </w:r>
      <w:proofErr w:type="gramEnd"/>
    </w:p>
    <w:p w14:paraId="25525B84" w14:textId="77777777" w:rsidR="00BA51DB" w:rsidRPr="000A6B52" w:rsidRDefault="00BA51DB" w:rsidP="00BA51DB">
      <w:pPr>
        <w:pStyle w:val="ListBullet"/>
        <w:keepLines/>
        <w:tabs>
          <w:tab w:val="left" w:pos="284"/>
          <w:tab w:val="left" w:pos="567"/>
          <w:tab w:val="left" w:pos="851"/>
        </w:tabs>
        <w:spacing w:before="100" w:after="100" w:line="260" w:lineRule="atLeast"/>
        <w:ind w:left="284" w:hanging="284"/>
      </w:pPr>
      <w:proofErr w:type="gramStart"/>
      <w:r w:rsidRPr="000A6B52">
        <w:t>timing;</w:t>
      </w:r>
      <w:proofErr w:type="gramEnd"/>
    </w:p>
    <w:p w14:paraId="638DAEFE" w14:textId="77777777" w:rsidR="00BA51DB" w:rsidRPr="000A6B52" w:rsidRDefault="00BA51DB" w:rsidP="00BA51DB">
      <w:pPr>
        <w:pStyle w:val="ListBullet"/>
        <w:keepLines/>
        <w:tabs>
          <w:tab w:val="left" w:pos="284"/>
          <w:tab w:val="left" w:pos="567"/>
          <w:tab w:val="left" w:pos="851"/>
        </w:tabs>
        <w:spacing w:before="100" w:after="100" w:line="260" w:lineRule="atLeast"/>
        <w:ind w:left="284" w:hanging="284"/>
      </w:pPr>
      <w:r w:rsidRPr="000A6B52">
        <w:t>feedback requirements; and</w:t>
      </w:r>
    </w:p>
    <w:p w14:paraId="4D7F3085" w14:textId="77777777" w:rsidR="00BA51DB" w:rsidRPr="000A6B52" w:rsidRDefault="00BA51DB" w:rsidP="00BA51DB">
      <w:pPr>
        <w:pStyle w:val="ListBullet"/>
        <w:keepLines/>
        <w:tabs>
          <w:tab w:val="left" w:pos="284"/>
          <w:tab w:val="left" w:pos="567"/>
          <w:tab w:val="left" w:pos="851"/>
        </w:tabs>
        <w:spacing w:before="100" w:after="100" w:line="260" w:lineRule="atLeast"/>
        <w:ind w:left="284" w:hanging="284"/>
      </w:pPr>
      <w:r w:rsidRPr="000A6B52">
        <w:t>reporting requirements (if any).</w:t>
      </w:r>
    </w:p>
    <w:p w14:paraId="23754DE3" w14:textId="177775F6" w:rsidR="00BA51DB" w:rsidRPr="009128A7" w:rsidRDefault="00BA51DB" w:rsidP="009128A7">
      <w:pPr>
        <w:pStyle w:val="Heading4"/>
      </w:pPr>
      <w:r w:rsidRPr="009128A7">
        <w:t>Assessment guidelines/requirements issued by the Minister or DE</w:t>
      </w:r>
      <w:r w:rsidR="00DD78D1">
        <w:t>ECA</w:t>
      </w:r>
    </w:p>
    <w:p w14:paraId="6639C2B2" w14:textId="5CF52E3D" w:rsidR="00BA51DB" w:rsidRPr="000A6B52" w:rsidRDefault="00BA51DB" w:rsidP="00BA51DB">
      <w:r w:rsidRPr="000A6B52">
        <w:t xml:space="preserve">If the Minister or the Secretary of </w:t>
      </w:r>
      <w:r>
        <w:t>DE</w:t>
      </w:r>
      <w:r w:rsidR="00DD78D1">
        <w:t>ECA</w:t>
      </w:r>
      <w:r w:rsidRPr="000A6B52">
        <w:t xml:space="preserve"> issues any assessment</w:t>
      </w:r>
      <w:r>
        <w:t xml:space="preserve"> </w:t>
      </w:r>
      <w:r w:rsidRPr="000A6B52">
        <w:t>guidelines/requirements that apply to the board (e.g. criteria,</w:t>
      </w:r>
      <w:r>
        <w:t xml:space="preserve"> </w:t>
      </w:r>
      <w:r w:rsidRPr="000A6B52">
        <w:t>methods, reporting), these will be adopted as the board’s</w:t>
      </w:r>
      <w:r>
        <w:t xml:space="preserve"> </w:t>
      </w:r>
      <w:r w:rsidRPr="000A6B52">
        <w:t>performance assessment plan or incorporated into it.</w:t>
      </w:r>
    </w:p>
    <w:p w14:paraId="091162DB" w14:textId="2B21D88D" w:rsidR="00D20C1F" w:rsidRDefault="00D20C1F" w:rsidP="00D20C1F">
      <w:pPr>
        <w:pStyle w:val="Heading2"/>
        <w:spacing w:before="0"/>
      </w:pPr>
      <w:r>
        <w:t>6. Methods of assessing performance</w:t>
      </w:r>
    </w:p>
    <w:p w14:paraId="46734421" w14:textId="0AD2CC08" w:rsidR="00B04E57" w:rsidRPr="000A6B52" w:rsidRDefault="00B04E57" w:rsidP="00B04E57">
      <w:r w:rsidRPr="000A6B52">
        <w:t>Subject to any guidelines/requirements issued by the Minister</w:t>
      </w:r>
      <w:r>
        <w:t xml:space="preserve"> </w:t>
      </w:r>
      <w:r w:rsidRPr="000A6B52">
        <w:t xml:space="preserve">or </w:t>
      </w:r>
      <w:r>
        <w:t>DE</w:t>
      </w:r>
      <w:r w:rsidR="00DD78D1">
        <w:t>ECA</w:t>
      </w:r>
      <w:r w:rsidRPr="000A6B52">
        <w:t xml:space="preserve">, </w:t>
      </w:r>
      <w:r w:rsidRPr="008A7366">
        <w:rPr>
          <w:b/>
          <w:bCs/>
        </w:rPr>
        <w:t xml:space="preserve">assessment </w:t>
      </w:r>
      <w:r w:rsidRPr="008A7366">
        <w:rPr>
          <w:rStyle w:val="Emphasis-Bold"/>
          <w:b w:val="0"/>
          <w:bCs/>
        </w:rPr>
        <w:t>methods</w:t>
      </w:r>
      <w:r w:rsidRPr="000A6B52">
        <w:t xml:space="preserve"> will comprise a mixture of</w:t>
      </w:r>
      <w:r>
        <w:t xml:space="preserve"> </w:t>
      </w:r>
      <w:r w:rsidR="00A33412" w:rsidRPr="000A6B52">
        <w:t>self-assessment</w:t>
      </w:r>
      <w:r w:rsidRPr="000A6B52">
        <w:t>, peer assessment and/or independent</w:t>
      </w:r>
      <w:r>
        <w:t xml:space="preserve"> </w:t>
      </w:r>
      <w:r w:rsidRPr="000A6B52">
        <w:t>assessment. Unless good reason exists to the contrary:</w:t>
      </w:r>
    </w:p>
    <w:p w14:paraId="4F0992C9" w14:textId="0D8D2785" w:rsidR="00B04E57" w:rsidRPr="000A6B52" w:rsidRDefault="00D71DC9" w:rsidP="00B04E57">
      <w:pPr>
        <w:pStyle w:val="ListBullet"/>
        <w:keepLines/>
        <w:tabs>
          <w:tab w:val="left" w:pos="284"/>
          <w:tab w:val="left" w:pos="567"/>
          <w:tab w:val="left" w:pos="851"/>
        </w:tabs>
        <w:spacing w:before="100" w:after="100" w:line="260" w:lineRule="atLeast"/>
        <w:ind w:left="284" w:hanging="284"/>
      </w:pPr>
      <w:r w:rsidRPr="003E3CE1">
        <w:rPr>
          <w:rStyle w:val="Emphasis-Bold"/>
        </w:rPr>
        <w:t>Self</w:t>
      </w:r>
      <w:r w:rsidRPr="008A7366">
        <w:rPr>
          <w:b/>
        </w:rPr>
        <w:t>-</w:t>
      </w:r>
      <w:r w:rsidRPr="003E3CE1">
        <w:rPr>
          <w:rStyle w:val="Emphasis-Bold"/>
        </w:rPr>
        <w:t>assessment</w:t>
      </w:r>
      <w:r w:rsidR="00B04E57" w:rsidRPr="000A6B52">
        <w:t xml:space="preserve"> will occur </w:t>
      </w:r>
      <w:r w:rsidR="00B04E57">
        <w:t>annually</w:t>
      </w:r>
      <w:r w:rsidR="00B04E57" w:rsidRPr="000A6B52">
        <w:t>,</w:t>
      </w:r>
      <w:r w:rsidR="00B04E57">
        <w:t xml:space="preserve"> </w:t>
      </w:r>
      <w:r w:rsidR="00B04E57" w:rsidRPr="000A6B52">
        <w:t>using standard criteria set by the board in its performance</w:t>
      </w:r>
      <w:r w:rsidR="00B04E57">
        <w:t xml:space="preserve"> </w:t>
      </w:r>
      <w:r w:rsidR="00B04E57" w:rsidRPr="000A6B52">
        <w:t xml:space="preserve">assessment </w:t>
      </w:r>
      <w:proofErr w:type="gramStart"/>
      <w:r w:rsidR="00B04E57" w:rsidRPr="000A6B52">
        <w:t>plan;</w:t>
      </w:r>
      <w:proofErr w:type="gramEnd"/>
    </w:p>
    <w:p w14:paraId="3D50F8F8" w14:textId="77777777" w:rsidR="00B04E57" w:rsidRPr="000A6B52" w:rsidRDefault="00B04E57" w:rsidP="00B04E57">
      <w:pPr>
        <w:pStyle w:val="ListBullet"/>
        <w:keepLines/>
        <w:tabs>
          <w:tab w:val="left" w:pos="284"/>
          <w:tab w:val="left" w:pos="567"/>
          <w:tab w:val="left" w:pos="851"/>
        </w:tabs>
        <w:spacing w:before="100" w:after="100" w:line="260" w:lineRule="atLeast"/>
        <w:ind w:left="284" w:hanging="284"/>
      </w:pPr>
      <w:r w:rsidRPr="003E3CE1">
        <w:rPr>
          <w:rStyle w:val="Emphasis-Bold"/>
        </w:rPr>
        <w:t>Peer assessment</w:t>
      </w:r>
      <w:r w:rsidRPr="000A6B52">
        <w:t xml:space="preserve"> will occur every one to two years, whereby the board will engage an independent person to:</w:t>
      </w:r>
    </w:p>
    <w:p w14:paraId="666C14AA" w14:textId="77777777" w:rsidR="00B04E57" w:rsidRPr="003150B9" w:rsidRDefault="00B04E57" w:rsidP="00B04E57">
      <w:pPr>
        <w:pStyle w:val="ListBullet2"/>
        <w:keepLines/>
        <w:tabs>
          <w:tab w:val="left" w:pos="284"/>
          <w:tab w:val="left" w:pos="567"/>
          <w:tab w:val="left" w:pos="851"/>
          <w:tab w:val="num" w:pos="1134"/>
        </w:tabs>
        <w:spacing w:before="100" w:after="100" w:line="260" w:lineRule="atLeast"/>
        <w:ind w:left="568" w:hanging="284"/>
      </w:pPr>
      <w:r w:rsidRPr="003150B9">
        <w:t xml:space="preserve">conduct a peer assessment </w:t>
      </w:r>
      <w:proofErr w:type="gramStart"/>
      <w:r w:rsidRPr="003150B9">
        <w:t>survey;</w:t>
      </w:r>
      <w:proofErr w:type="gramEnd"/>
    </w:p>
    <w:p w14:paraId="5B619E0A" w14:textId="77777777" w:rsidR="00B04E57" w:rsidRPr="003150B9" w:rsidRDefault="00B04E57" w:rsidP="00B04E57">
      <w:pPr>
        <w:pStyle w:val="ListBullet2"/>
        <w:keepLines/>
        <w:tabs>
          <w:tab w:val="left" w:pos="284"/>
          <w:tab w:val="left" w:pos="567"/>
          <w:tab w:val="left" w:pos="851"/>
          <w:tab w:val="num" w:pos="1134"/>
        </w:tabs>
        <w:spacing w:before="100" w:after="100" w:line="260" w:lineRule="atLeast"/>
        <w:ind w:left="568" w:hanging="284"/>
      </w:pPr>
      <w:r w:rsidRPr="003150B9">
        <w:t xml:space="preserve">analyse the </w:t>
      </w:r>
      <w:proofErr w:type="gramStart"/>
      <w:r w:rsidRPr="003150B9">
        <w:t>results;</w:t>
      </w:r>
      <w:proofErr w:type="gramEnd"/>
    </w:p>
    <w:p w14:paraId="4AF8CF22" w14:textId="77777777" w:rsidR="00B04E57" w:rsidRPr="003150B9" w:rsidRDefault="00B04E57" w:rsidP="00B04E57">
      <w:pPr>
        <w:pStyle w:val="ListBullet2"/>
        <w:keepLines/>
        <w:tabs>
          <w:tab w:val="left" w:pos="284"/>
          <w:tab w:val="left" w:pos="567"/>
          <w:tab w:val="left" w:pos="851"/>
          <w:tab w:val="num" w:pos="1134"/>
        </w:tabs>
        <w:spacing w:before="100" w:after="100" w:line="260" w:lineRule="atLeast"/>
        <w:ind w:left="568" w:hanging="284"/>
      </w:pPr>
      <w:r w:rsidRPr="003150B9">
        <w:t>provide feedback (de-identified where appropriate); and</w:t>
      </w:r>
    </w:p>
    <w:p w14:paraId="462F1B9A" w14:textId="77777777" w:rsidR="00B04E57" w:rsidRPr="003150B9" w:rsidRDefault="00B04E57" w:rsidP="00B04E57">
      <w:pPr>
        <w:pStyle w:val="ListBullet2"/>
        <w:keepLines/>
        <w:tabs>
          <w:tab w:val="left" w:pos="284"/>
          <w:tab w:val="left" w:pos="567"/>
          <w:tab w:val="left" w:pos="851"/>
          <w:tab w:val="num" w:pos="1134"/>
        </w:tabs>
        <w:spacing w:before="100" w:after="100" w:line="260" w:lineRule="atLeast"/>
        <w:ind w:left="568" w:hanging="284"/>
      </w:pPr>
      <w:r w:rsidRPr="003150B9">
        <w:t>make recommendations.</w:t>
      </w:r>
    </w:p>
    <w:p w14:paraId="1842AB07" w14:textId="77777777" w:rsidR="00B04E57" w:rsidRPr="000A6B52" w:rsidRDefault="00B04E57" w:rsidP="00B04E57">
      <w:pPr>
        <w:ind w:left="227"/>
      </w:pPr>
      <w:r w:rsidRPr="000A6B52">
        <w:t>Where appropriate, peer feedback results will be provided</w:t>
      </w:r>
      <w:r>
        <w:t xml:space="preserve"> </w:t>
      </w:r>
      <w:r w:rsidRPr="000A6B52">
        <w:t>to the chair.</w:t>
      </w:r>
    </w:p>
    <w:p w14:paraId="50A7FB57" w14:textId="48E754AE" w:rsidR="00B04E57" w:rsidRPr="000A6B52" w:rsidRDefault="00B04E57" w:rsidP="00B04E57">
      <w:pPr>
        <w:pStyle w:val="ListBullet"/>
        <w:keepLines/>
        <w:tabs>
          <w:tab w:val="left" w:pos="284"/>
          <w:tab w:val="left" w:pos="567"/>
          <w:tab w:val="left" w:pos="851"/>
        </w:tabs>
        <w:spacing w:before="100" w:after="100" w:line="260" w:lineRule="atLeast"/>
        <w:ind w:left="284" w:hanging="284"/>
      </w:pPr>
      <w:r w:rsidRPr="0838816B">
        <w:rPr>
          <w:rStyle w:val="Emphasis-Italics"/>
        </w:rPr>
        <w:t>[insert for larger agencies]</w:t>
      </w:r>
      <w:r>
        <w:t xml:space="preserve"> </w:t>
      </w:r>
      <w:r w:rsidRPr="0838816B">
        <w:rPr>
          <w:rStyle w:val="Emphasis-Bold"/>
        </w:rPr>
        <w:t>Independent assessment</w:t>
      </w:r>
      <w:r>
        <w:t xml:space="preserve"> will occur every </w:t>
      </w:r>
      <w:r w:rsidR="00983885">
        <w:t>three</w:t>
      </w:r>
      <w:r>
        <w:t xml:space="preserve"> to </w:t>
      </w:r>
      <w:r w:rsidR="00983885">
        <w:t>four</w:t>
      </w:r>
      <w:r>
        <w:t xml:space="preserve"> years. The board will engage an independent governance consultant who is experienced in public sector performance assessment.</w:t>
      </w:r>
    </w:p>
    <w:p w14:paraId="5762239A" w14:textId="77777777" w:rsidR="00B04E57" w:rsidRPr="000A6B52" w:rsidRDefault="00B04E57" w:rsidP="00B04E57">
      <w:r w:rsidRPr="000A6B52">
        <w:t>The performance assessment plan will specify which type of</w:t>
      </w:r>
      <w:r>
        <w:t xml:space="preserve"> </w:t>
      </w:r>
      <w:r w:rsidRPr="000A6B52">
        <w:t>assessment or assessments will occur in a particular year.</w:t>
      </w:r>
      <w:r>
        <w:rPr>
          <w:rStyle w:val="FootnoteReference"/>
        </w:rPr>
        <w:footnoteReference w:id="5"/>
      </w:r>
    </w:p>
    <w:p w14:paraId="33DC2C86" w14:textId="5B6CDE88" w:rsidR="00954293" w:rsidRDefault="00C86430" w:rsidP="00954293">
      <w:pPr>
        <w:pStyle w:val="Heading2"/>
        <w:spacing w:before="0"/>
      </w:pPr>
      <w:r>
        <w:t>7. Assessment criteria</w:t>
      </w:r>
    </w:p>
    <w:p w14:paraId="6E859AFC" w14:textId="7B31C0E0" w:rsidR="00036BEA" w:rsidRPr="000A6B52" w:rsidRDefault="00036BEA" w:rsidP="00036BEA">
      <w:r w:rsidRPr="000A6B52">
        <w:t>Subject to any guidelines/requirements issued by the Minister</w:t>
      </w:r>
      <w:r>
        <w:t xml:space="preserve"> </w:t>
      </w:r>
      <w:r w:rsidRPr="000A6B52">
        <w:t xml:space="preserve">or </w:t>
      </w:r>
      <w:r>
        <w:t>DE</w:t>
      </w:r>
      <w:r w:rsidR="00DD78D1">
        <w:t>ECA</w:t>
      </w:r>
      <w:r w:rsidRPr="000A6B52">
        <w:t>, the assessment criteria in the board’s performance</w:t>
      </w:r>
      <w:r>
        <w:t xml:space="preserve"> </w:t>
      </w:r>
      <w:r w:rsidRPr="000A6B52">
        <w:t>assessment plan will be consistent with the appendices to this</w:t>
      </w:r>
      <w:r>
        <w:t xml:space="preserve"> </w:t>
      </w:r>
      <w:r w:rsidRPr="000A6B52">
        <w:t>policy, as follows:</w:t>
      </w:r>
    </w:p>
    <w:p w14:paraId="1697A857" w14:textId="77777777" w:rsidR="00036BEA" w:rsidRPr="000A6B52" w:rsidRDefault="00036BEA" w:rsidP="00036BEA">
      <w:pPr>
        <w:pStyle w:val="ListBullet"/>
        <w:keepLines/>
        <w:tabs>
          <w:tab w:val="left" w:pos="284"/>
          <w:tab w:val="left" w:pos="567"/>
          <w:tab w:val="left" w:pos="851"/>
        </w:tabs>
        <w:spacing w:before="100" w:after="100" w:line="260" w:lineRule="atLeast"/>
        <w:ind w:left="284" w:hanging="284"/>
      </w:pPr>
      <w:r w:rsidRPr="000A6B52">
        <w:t xml:space="preserve">collective performance of the board – see </w:t>
      </w:r>
      <w:r w:rsidRPr="006237C8">
        <w:rPr>
          <w:rStyle w:val="Emphasis-Bold"/>
        </w:rPr>
        <w:t>Appendix 1</w:t>
      </w:r>
    </w:p>
    <w:p w14:paraId="5321CF92" w14:textId="77777777" w:rsidR="00036BEA" w:rsidRPr="00A87699" w:rsidRDefault="00036BEA" w:rsidP="00036BEA">
      <w:pPr>
        <w:pStyle w:val="ListBullet"/>
        <w:keepLines/>
        <w:tabs>
          <w:tab w:val="left" w:pos="284"/>
          <w:tab w:val="left" w:pos="567"/>
          <w:tab w:val="left" w:pos="851"/>
        </w:tabs>
        <w:spacing w:before="100" w:after="100" w:line="260" w:lineRule="atLeast"/>
        <w:ind w:left="284" w:hanging="284"/>
        <w:rPr>
          <w:spacing w:val="-6"/>
        </w:rPr>
      </w:pPr>
      <w:r w:rsidRPr="00A87699">
        <w:rPr>
          <w:spacing w:val="-6"/>
        </w:rPr>
        <w:t xml:space="preserve">performance of individual board members – see </w:t>
      </w:r>
      <w:r w:rsidRPr="00A87699">
        <w:rPr>
          <w:rStyle w:val="Emphasis-Bold"/>
          <w:spacing w:val="-6"/>
        </w:rPr>
        <w:t>A</w:t>
      </w:r>
      <w:r>
        <w:rPr>
          <w:rStyle w:val="Emphasis-Bold"/>
          <w:spacing w:val="-6"/>
        </w:rPr>
        <w:t xml:space="preserve">ppendix </w:t>
      </w:r>
      <w:r w:rsidRPr="00A87699">
        <w:rPr>
          <w:rStyle w:val="Emphasis-Bold"/>
          <w:spacing w:val="-6"/>
        </w:rPr>
        <w:t>2</w:t>
      </w:r>
    </w:p>
    <w:p w14:paraId="5324F632" w14:textId="77777777" w:rsidR="00036BEA" w:rsidRPr="00A87699" w:rsidRDefault="00036BEA" w:rsidP="00036BEA">
      <w:pPr>
        <w:pStyle w:val="ListBullet"/>
        <w:keepLines/>
        <w:tabs>
          <w:tab w:val="left" w:pos="284"/>
          <w:tab w:val="left" w:pos="567"/>
          <w:tab w:val="left" w:pos="851"/>
        </w:tabs>
        <w:spacing w:before="100" w:after="100" w:line="260" w:lineRule="atLeast"/>
        <w:ind w:left="284" w:hanging="284"/>
        <w:rPr>
          <w:spacing w:val="-6"/>
        </w:rPr>
      </w:pPr>
      <w:r w:rsidRPr="00A87699">
        <w:rPr>
          <w:spacing w:val="-6"/>
        </w:rPr>
        <w:t xml:space="preserve">performance of the chair’s additional duties – see </w:t>
      </w:r>
      <w:r>
        <w:rPr>
          <w:rStyle w:val="Emphasis-Bold"/>
          <w:spacing w:val="-6"/>
        </w:rPr>
        <w:t xml:space="preserve">Appendix </w:t>
      </w:r>
      <w:r w:rsidRPr="00A87699">
        <w:rPr>
          <w:rStyle w:val="Emphasis-Bold"/>
          <w:spacing w:val="-6"/>
        </w:rPr>
        <w:t>3</w:t>
      </w:r>
      <w:r w:rsidRPr="00D0728A">
        <w:rPr>
          <w:rStyle w:val="Emphasis-Bold"/>
          <w:spacing w:val="-6"/>
        </w:rPr>
        <w:t>.</w:t>
      </w:r>
    </w:p>
    <w:p w14:paraId="5FDC7932" w14:textId="06ABEAD8" w:rsidR="00AC087B" w:rsidRDefault="00AC087B" w:rsidP="00AC087B">
      <w:pPr>
        <w:pStyle w:val="Heading2"/>
        <w:spacing w:before="0"/>
      </w:pPr>
      <w:r>
        <w:t>8. Improving performance</w:t>
      </w:r>
    </w:p>
    <w:p w14:paraId="6F8D24F1" w14:textId="77777777" w:rsidR="00B5201F" w:rsidRDefault="00B5201F" w:rsidP="00B5201F">
      <w:r>
        <w:t>Board members will be offered, and will make use of, appropriate opportunities for improving their board skills.</w:t>
      </w:r>
    </w:p>
    <w:p w14:paraId="14CF36ED" w14:textId="77777777" w:rsidR="00B5201F" w:rsidRDefault="00B5201F" w:rsidP="00B5201F">
      <w:r>
        <w:t>Where areas of poor performance are identified, board members will be given the opportunity to improve their board skills as soon as possible. Board members will make use of this opportunity as soon as possible.</w:t>
      </w:r>
    </w:p>
    <w:p w14:paraId="6C7AE1DC" w14:textId="3EC14DFB" w:rsidR="00B5201F" w:rsidRDefault="00B5201F" w:rsidP="00B5201F">
      <w:r>
        <w:t>If poor performance is not resolved within a suitable time, DE</w:t>
      </w:r>
      <w:r w:rsidR="00DD78D1">
        <w:t>ECA</w:t>
      </w:r>
      <w:r>
        <w:t xml:space="preserve"> will be contacted for advice.</w:t>
      </w:r>
    </w:p>
    <w:p w14:paraId="4137A4DD" w14:textId="18D972B9" w:rsidR="00B5201F" w:rsidRDefault="00B5201F" w:rsidP="00B5201F">
      <w:r>
        <w:t>[</w:t>
      </w:r>
      <w:r w:rsidRPr="00A87699">
        <w:rPr>
          <w:rStyle w:val="Emphasis-Italics"/>
        </w:rPr>
        <w:t>Insert where applicable]</w:t>
      </w:r>
      <w:r>
        <w:t xml:space="preserve"> For details, see the board’s policy on </w:t>
      </w:r>
      <w:r w:rsidRPr="00A87699">
        <w:rPr>
          <w:rStyle w:val="Emphasis-Italics"/>
        </w:rPr>
        <w:t xml:space="preserve">Induction and </w:t>
      </w:r>
      <w:r w:rsidR="00A43CEB">
        <w:rPr>
          <w:rStyle w:val="Emphasis-Italics"/>
        </w:rPr>
        <w:t>continuing education</w:t>
      </w:r>
      <w:r>
        <w:t>.</w:t>
      </w:r>
    </w:p>
    <w:p w14:paraId="0EBC9A84" w14:textId="14A2D3A7" w:rsidR="00B5201F" w:rsidRPr="00B03314" w:rsidRDefault="00B5201F" w:rsidP="00B5201F">
      <w:r>
        <w:t>[</w:t>
      </w:r>
      <w:r w:rsidRPr="00A87699">
        <w:rPr>
          <w:rStyle w:val="Emphasis-Italics"/>
        </w:rPr>
        <w:t>For a model policy</w:t>
      </w:r>
      <w:r>
        <w:t xml:space="preserve"> </w:t>
      </w:r>
      <w:r w:rsidRPr="00A87699">
        <w:rPr>
          <w:rStyle w:val="Emphasis-Italics"/>
        </w:rPr>
        <w:t>on</w:t>
      </w:r>
      <w:r>
        <w:t xml:space="preserve"> Induction and </w:t>
      </w:r>
      <w:r w:rsidR="00332FE6">
        <w:t>continuing education</w:t>
      </w:r>
      <w:r>
        <w:t xml:space="preserve"> </w:t>
      </w:r>
      <w:r w:rsidRPr="00A87699">
        <w:rPr>
          <w:rStyle w:val="Emphasis-Italics"/>
        </w:rPr>
        <w:t>see</w:t>
      </w:r>
      <w:r>
        <w:t xml:space="preserve"> </w:t>
      </w:r>
      <w:hyperlink r:id="rId23" w:history="1">
        <w:r w:rsidR="00332FE6" w:rsidRPr="00943BBD">
          <w:rPr>
            <w:rStyle w:val="Hyperlink"/>
          </w:rPr>
          <w:t>https://www.deeca.vic.gov.au/boards-and-governance/induction-and-continuing-education</w:t>
        </w:r>
      </w:hyperlink>
      <w:r w:rsidR="00332FE6">
        <w:t>]</w:t>
      </w:r>
    </w:p>
    <w:p w14:paraId="74806077" w14:textId="77777777" w:rsidR="00B5201F" w:rsidRDefault="00B5201F" w:rsidP="00B5201F">
      <w:pPr>
        <w:pStyle w:val="Heading4"/>
      </w:pPr>
      <w:r>
        <w:t>Disputes affecting performance</w:t>
      </w:r>
    </w:p>
    <w:p w14:paraId="7C019D01" w14:textId="459E6304" w:rsidR="00B5201F" w:rsidRDefault="00B5201F" w:rsidP="00B5201F">
      <w:r>
        <w:t xml:space="preserve">If a dispute between board members is affecting the performance of a board member, or of the board collectively, the matter will be addressed in accordance with the board’s </w:t>
      </w:r>
      <w:r w:rsidRPr="00A87699">
        <w:rPr>
          <w:rStyle w:val="Emphasis-Italics"/>
        </w:rPr>
        <w:t xml:space="preserve">Dispute </w:t>
      </w:r>
      <w:r w:rsidR="00543F84">
        <w:rPr>
          <w:rStyle w:val="Emphasis-Italics"/>
        </w:rPr>
        <w:t>r</w:t>
      </w:r>
      <w:r w:rsidRPr="00A87699">
        <w:rPr>
          <w:rStyle w:val="Emphasis-Italics"/>
        </w:rPr>
        <w:t>esolution</w:t>
      </w:r>
      <w:r>
        <w:t xml:space="preserve"> policy.</w:t>
      </w:r>
    </w:p>
    <w:p w14:paraId="64F11F3B" w14:textId="65627B30" w:rsidR="00B5201F" w:rsidRDefault="00B5201F" w:rsidP="00B5201F">
      <w:r>
        <w:t>[</w:t>
      </w:r>
      <w:r w:rsidRPr="00A87699">
        <w:rPr>
          <w:rStyle w:val="Emphasis-Italics"/>
        </w:rPr>
        <w:t>For a model policy on</w:t>
      </w:r>
      <w:r>
        <w:t xml:space="preserve"> Dispute </w:t>
      </w:r>
      <w:r w:rsidR="00543F84">
        <w:t>r</w:t>
      </w:r>
      <w:r>
        <w:t xml:space="preserve">esolution </w:t>
      </w:r>
      <w:r w:rsidRPr="00A87699">
        <w:rPr>
          <w:rStyle w:val="Emphasis-Italics"/>
        </w:rPr>
        <w:t>see</w:t>
      </w:r>
      <w:r>
        <w:t xml:space="preserve"> </w:t>
      </w:r>
      <w:hyperlink r:id="rId24" w:history="1">
        <w:r w:rsidR="003E14F8" w:rsidRPr="00943BBD">
          <w:rPr>
            <w:rStyle w:val="Hyperlink"/>
          </w:rPr>
          <w:t>https://www.deeca.vic.gov.au/boards-and-governance/induction-and-continuing-education</w:t>
        </w:r>
      </w:hyperlink>
      <w:r w:rsidR="003E14F8">
        <w:t>]</w:t>
      </w:r>
    </w:p>
    <w:p w14:paraId="1147FB9E" w14:textId="77777777" w:rsidR="00B5201F" w:rsidRDefault="00B5201F" w:rsidP="00B5201F">
      <w:pPr>
        <w:pStyle w:val="Heading4"/>
      </w:pPr>
      <w:r>
        <w:t>Major risks</w:t>
      </w:r>
    </w:p>
    <w:p w14:paraId="118CA66E" w14:textId="0E1CDE65" w:rsidR="00B5201F" w:rsidRDefault="00B5201F" w:rsidP="00B5201F">
      <w:r>
        <w:t>Consistent with section 81(1)(b) of the PAA, if the collective or individual performance of board member(s) poses a major risk (existing or emerging) to the effective operation of the organisation, the Minister and the Secretary of DE</w:t>
      </w:r>
      <w:r w:rsidR="00740971">
        <w:t>ECA</w:t>
      </w:r>
      <w:r>
        <w:t xml:space="preserve"> will be notified of the risk and of the management systems that are in place to address the risk.</w:t>
      </w:r>
    </w:p>
    <w:p w14:paraId="114B7C15" w14:textId="7FE06999" w:rsidR="00A50AD7" w:rsidRDefault="00BE0087" w:rsidP="00A50AD7">
      <w:pPr>
        <w:pStyle w:val="Heading2"/>
        <w:spacing w:before="0"/>
      </w:pPr>
      <w:r>
        <w:t xml:space="preserve">9. Regular review of </w:t>
      </w:r>
      <w:r w:rsidR="00BA517D">
        <w:t>this policy</w:t>
      </w:r>
    </w:p>
    <w:p w14:paraId="7D803B94" w14:textId="048C8922" w:rsidR="00132907" w:rsidRDefault="00132907" w:rsidP="00132907">
      <w:r>
        <w:t xml:space="preserve">The board will review this policy on an annual basis or more frequently, if required, to keep </w:t>
      </w:r>
      <w:r w:rsidR="003E14F8">
        <w:t>up to date</w:t>
      </w:r>
      <w:r>
        <w:t xml:space="preserve"> with changes to laws, government policy, etc. This policy was </w:t>
      </w:r>
      <w:r w:rsidRPr="008A7366">
        <w:rPr>
          <w:rStyle w:val="Emphasis-Bold"/>
          <w:b w:val="0"/>
          <w:bCs/>
        </w:rPr>
        <w:t>last</w:t>
      </w:r>
      <w:r w:rsidRPr="008A7366">
        <w:rPr>
          <w:b/>
          <w:bCs/>
        </w:rPr>
        <w:t xml:space="preserve"> </w:t>
      </w:r>
      <w:r w:rsidRPr="008A7366">
        <w:rPr>
          <w:rStyle w:val="Emphasis-Bold"/>
          <w:b w:val="0"/>
          <w:bCs/>
        </w:rPr>
        <w:t>reviewed</w:t>
      </w:r>
      <w:r w:rsidRPr="008A7366">
        <w:rPr>
          <w:b/>
          <w:bCs/>
        </w:rPr>
        <w:t xml:space="preserve"> </w:t>
      </w:r>
      <w:r w:rsidRPr="008A7366">
        <w:rPr>
          <w:rStyle w:val="Emphasis-Bold"/>
          <w:b w:val="0"/>
          <w:bCs/>
        </w:rPr>
        <w:t>on</w:t>
      </w:r>
      <w:r>
        <w:t xml:space="preserve"> </w:t>
      </w:r>
      <w:r w:rsidRPr="00A87699">
        <w:rPr>
          <w:rStyle w:val="Emphasis-Italics"/>
        </w:rPr>
        <w:t>[insert</w:t>
      </w:r>
      <w:r w:rsidR="003E14F8">
        <w:rPr>
          <w:rStyle w:val="Emphasis-Italics"/>
        </w:rPr>
        <w:t xml:space="preserve"> date</w:t>
      </w:r>
      <w:r w:rsidRPr="00A87699">
        <w:rPr>
          <w:rStyle w:val="Emphasis-Italics"/>
        </w:rPr>
        <w:t>]</w:t>
      </w:r>
      <w:r>
        <w:t>.</w:t>
      </w:r>
    </w:p>
    <w:p w14:paraId="52A055E6" w14:textId="10183E15" w:rsidR="007512EA" w:rsidRDefault="00A92A61" w:rsidP="007512EA">
      <w:pPr>
        <w:pStyle w:val="Heading2"/>
        <w:spacing w:before="0"/>
      </w:pPr>
      <w:r>
        <w:t>10. Related policies</w:t>
      </w:r>
    </w:p>
    <w:p w14:paraId="0911B88F" w14:textId="1E7598EC" w:rsidR="002F69A2" w:rsidRDefault="001D5660" w:rsidP="002F69A2">
      <w:pPr>
        <w:pStyle w:val="ListBullet"/>
        <w:keepLines/>
        <w:tabs>
          <w:tab w:val="left" w:pos="284"/>
          <w:tab w:val="left" w:pos="567"/>
          <w:tab w:val="left" w:pos="851"/>
        </w:tabs>
        <w:spacing w:before="100" w:after="100" w:line="260" w:lineRule="atLeast"/>
        <w:ind w:left="284" w:hanging="284"/>
      </w:pPr>
      <w:r>
        <w:t>Board meetings and decisions</w:t>
      </w:r>
    </w:p>
    <w:p w14:paraId="07E1F3F5" w14:textId="207858B9" w:rsidR="002F69A2" w:rsidRDefault="002F69A2" w:rsidP="002F69A2">
      <w:pPr>
        <w:pStyle w:val="ListBullet"/>
        <w:keepLines/>
        <w:tabs>
          <w:tab w:val="left" w:pos="284"/>
          <w:tab w:val="left" w:pos="567"/>
          <w:tab w:val="left" w:pos="851"/>
        </w:tabs>
        <w:spacing w:before="100" w:after="100" w:line="260" w:lineRule="atLeast"/>
        <w:ind w:left="284" w:hanging="284"/>
      </w:pPr>
      <w:r>
        <w:t xml:space="preserve">Conflict of </w:t>
      </w:r>
      <w:r w:rsidR="00D501D5">
        <w:t>i</w:t>
      </w:r>
      <w:r>
        <w:t>nterest</w:t>
      </w:r>
    </w:p>
    <w:p w14:paraId="0258C5B7" w14:textId="7A8C85A3" w:rsidR="002F69A2" w:rsidRDefault="002F69A2" w:rsidP="002F69A2">
      <w:pPr>
        <w:pStyle w:val="ListBullet"/>
        <w:keepLines/>
        <w:tabs>
          <w:tab w:val="left" w:pos="284"/>
          <w:tab w:val="left" w:pos="567"/>
          <w:tab w:val="left" w:pos="851"/>
        </w:tabs>
        <w:spacing w:before="100" w:after="100" w:line="260" w:lineRule="atLeast"/>
        <w:ind w:left="284" w:hanging="284"/>
      </w:pPr>
      <w:r>
        <w:t xml:space="preserve">Gifts, </w:t>
      </w:r>
      <w:r w:rsidR="00D501D5">
        <w:t>b</w:t>
      </w:r>
      <w:r>
        <w:t xml:space="preserve">enefits and </w:t>
      </w:r>
      <w:r w:rsidR="00D501D5">
        <w:t>h</w:t>
      </w:r>
      <w:r>
        <w:t>ospitality</w:t>
      </w:r>
    </w:p>
    <w:p w14:paraId="22A5AA71" w14:textId="7BEFB3A0" w:rsidR="002F69A2" w:rsidRDefault="002F69A2" w:rsidP="002F69A2">
      <w:pPr>
        <w:pStyle w:val="ListBullet"/>
        <w:keepLines/>
        <w:tabs>
          <w:tab w:val="left" w:pos="284"/>
          <w:tab w:val="left" w:pos="567"/>
          <w:tab w:val="left" w:pos="851"/>
        </w:tabs>
        <w:spacing w:before="100" w:after="100" w:line="260" w:lineRule="atLeast"/>
        <w:ind w:left="284" w:hanging="284"/>
      </w:pPr>
      <w:r>
        <w:t xml:space="preserve">Code of </w:t>
      </w:r>
      <w:r w:rsidR="00904143">
        <w:t>c</w:t>
      </w:r>
      <w:r>
        <w:t>onduct</w:t>
      </w:r>
    </w:p>
    <w:p w14:paraId="488863EE" w14:textId="35CAF33E" w:rsidR="002F69A2" w:rsidRDefault="002F69A2" w:rsidP="002F69A2">
      <w:pPr>
        <w:pStyle w:val="ListBullet"/>
        <w:keepLines/>
        <w:tabs>
          <w:tab w:val="left" w:pos="284"/>
          <w:tab w:val="left" w:pos="567"/>
          <w:tab w:val="left" w:pos="851"/>
        </w:tabs>
        <w:spacing w:before="100" w:after="100" w:line="260" w:lineRule="atLeast"/>
        <w:ind w:left="284" w:hanging="284"/>
      </w:pPr>
      <w:r>
        <w:t xml:space="preserve">Dispute </w:t>
      </w:r>
      <w:r w:rsidR="00D501D5">
        <w:t>r</w:t>
      </w:r>
      <w:r>
        <w:t>esolution</w:t>
      </w:r>
    </w:p>
    <w:p w14:paraId="1C847EF2" w14:textId="45E25D93" w:rsidR="009139FF" w:rsidRDefault="002F69A2" w:rsidP="00AA69B3">
      <w:pPr>
        <w:pStyle w:val="ListBullet"/>
        <w:keepLines/>
        <w:tabs>
          <w:tab w:val="left" w:pos="284"/>
          <w:tab w:val="left" w:pos="567"/>
          <w:tab w:val="left" w:pos="851"/>
        </w:tabs>
        <w:spacing w:before="100" w:after="100" w:line="260" w:lineRule="atLeast"/>
        <w:ind w:left="284" w:hanging="284"/>
      </w:pPr>
      <w:r w:rsidRPr="00A87699">
        <w:rPr>
          <w:rStyle w:val="Emphasis-Italics"/>
        </w:rPr>
        <w:t>[insert where applicable]</w:t>
      </w:r>
      <w:r>
        <w:t xml:space="preserve"> Induction and </w:t>
      </w:r>
      <w:r w:rsidR="00904143">
        <w:t>continuing education</w:t>
      </w:r>
      <w:r>
        <w:t>.</w:t>
      </w:r>
    </w:p>
    <w:p w14:paraId="40FF6518" w14:textId="4701C669" w:rsidR="00AA69B3" w:rsidRDefault="00AA69B3" w:rsidP="00AA69B3">
      <w:pPr>
        <w:pStyle w:val="Heading2"/>
        <w:spacing w:before="0"/>
      </w:pPr>
      <w:r>
        <w:t>11. Further information</w:t>
      </w:r>
    </w:p>
    <w:p w14:paraId="276E857C" w14:textId="77777777" w:rsidR="001777D2" w:rsidRPr="0068585D" w:rsidRDefault="001777D2" w:rsidP="001777D2">
      <w:r w:rsidRPr="008A7366">
        <w:rPr>
          <w:b/>
          <w:color w:val="000000"/>
        </w:rPr>
        <w:t>On Board</w:t>
      </w:r>
      <w:r w:rsidRPr="00320002">
        <w:rPr>
          <w:bCs/>
        </w:rPr>
        <w:t xml:space="preserve"> (</w:t>
      </w:r>
      <w:hyperlink r:id="rId25" w:history="1">
        <w:r w:rsidRPr="00320002">
          <w:rPr>
            <w:rStyle w:val="Hyperlink"/>
            <w:bCs/>
          </w:rPr>
          <w:t>https://www.deeca.vic.gov.au/boards-and-governance/on-board</w:t>
        </w:r>
      </w:hyperlink>
      <w:r w:rsidRPr="00320002">
        <w:rPr>
          <w:bCs/>
        </w:rPr>
        <w:t>),</w:t>
      </w:r>
      <w:r w:rsidRPr="00B910CB">
        <w:t xml:space="preserve"> the </w:t>
      </w:r>
      <w:r>
        <w:t>DEECA</w:t>
      </w:r>
      <w:r w:rsidRPr="00B910CB">
        <w:t xml:space="preserve"> governance</w:t>
      </w:r>
      <w:r>
        <w:t xml:space="preserve"> guidance</w:t>
      </w:r>
      <w:r w:rsidRPr="00B910CB">
        <w:t xml:space="preserve"> website, offers information and resources on a range of key governance topics, for example</w:t>
      </w:r>
      <w:r>
        <w:t>, s</w:t>
      </w:r>
      <w:r w:rsidRPr="00E4143B">
        <w:rPr>
          <w:bCs/>
        </w:rPr>
        <w:t>upport modules</w:t>
      </w:r>
      <w:r w:rsidRPr="0068585D">
        <w:t xml:space="preserve"> (e.g. </w:t>
      </w:r>
      <w:hyperlink r:id="rId26" w:history="1">
        <w:r w:rsidRPr="00E4143B">
          <w:rPr>
            <w:rStyle w:val="Hyperlink"/>
          </w:rPr>
          <w:t xml:space="preserve">Performance </w:t>
        </w:r>
        <w:r>
          <w:rPr>
            <w:rStyle w:val="Hyperlink"/>
          </w:rPr>
          <w:t>a</w:t>
        </w:r>
        <w:r w:rsidRPr="00E4143B">
          <w:rPr>
            <w:rStyle w:val="Hyperlink"/>
          </w:rPr>
          <w:t>ssessment</w:t>
        </w:r>
      </w:hyperlink>
      <w:r w:rsidRPr="00A61D6F">
        <w:t>)</w:t>
      </w:r>
      <w:r w:rsidRPr="0068585D">
        <w:t xml:space="preserve"> </w:t>
      </w:r>
      <w:r>
        <w:t>including</w:t>
      </w:r>
      <w:r w:rsidRPr="0068585D">
        <w:t>:</w:t>
      </w:r>
    </w:p>
    <w:p w14:paraId="5603AE34" w14:textId="77777777" w:rsidR="001777D2" w:rsidRPr="00B910CB" w:rsidRDefault="001777D2" w:rsidP="001777D2">
      <w:pPr>
        <w:pStyle w:val="ListBullet"/>
        <w:keepLines/>
        <w:tabs>
          <w:tab w:val="num" w:pos="227"/>
          <w:tab w:val="left" w:pos="851"/>
        </w:tabs>
        <w:spacing w:before="60" w:after="40" w:line="264" w:lineRule="auto"/>
        <w:ind w:left="227"/>
      </w:pPr>
      <w:r w:rsidRPr="00B910CB">
        <w:t>guidance notes, model policies, templates and sample documents, case studies, etc</w:t>
      </w:r>
      <w:r>
        <w:t>.</w:t>
      </w:r>
    </w:p>
    <w:p w14:paraId="663ED7A8" w14:textId="77777777" w:rsidR="001777D2" w:rsidRDefault="001777D2" w:rsidP="001777D2">
      <w:pPr>
        <w:pStyle w:val="ListBullet"/>
        <w:keepLines/>
        <w:tabs>
          <w:tab w:val="num" w:pos="227"/>
          <w:tab w:val="left" w:pos="851"/>
        </w:tabs>
        <w:spacing w:before="60" w:after="40" w:line="264" w:lineRule="auto"/>
        <w:ind w:left="227"/>
      </w:pPr>
      <w:r w:rsidRPr="0068585D">
        <w:t>direct</w:t>
      </w:r>
      <w:r w:rsidRPr="00B910CB">
        <w:t xml:space="preserve"> links to the topic on other websites (e.g. </w:t>
      </w:r>
      <w:r>
        <w:t xml:space="preserve">VPSC </w:t>
      </w:r>
      <w:r w:rsidRPr="00B910CB">
        <w:t xml:space="preserve">and </w:t>
      </w:r>
      <w:hyperlink r:id="rId27" w:history="1">
        <w:r w:rsidRPr="00E4143B">
          <w:t>Victorian Ombudsman</w:t>
        </w:r>
      </w:hyperlink>
      <w:r w:rsidRPr="00B910CB">
        <w:t>).</w:t>
      </w:r>
    </w:p>
    <w:p w14:paraId="42B6DB12" w14:textId="09B6181F" w:rsidR="004B12E2" w:rsidRDefault="001777D2" w:rsidP="00A539EB">
      <w:pPr>
        <w:pStyle w:val="ListBullet"/>
        <w:keepLines/>
        <w:numPr>
          <w:ilvl w:val="0"/>
          <w:numId w:val="0"/>
        </w:numPr>
        <w:tabs>
          <w:tab w:val="left" w:pos="851"/>
        </w:tabs>
        <w:spacing w:before="60" w:after="40" w:line="264" w:lineRule="auto"/>
      </w:pPr>
      <w:r w:rsidRPr="008A7366">
        <w:rPr>
          <w:b/>
          <w:bCs/>
        </w:rPr>
        <w:t>Join a public board</w:t>
      </w:r>
      <w:r>
        <w:t xml:space="preserve"> (</w:t>
      </w:r>
      <w:hyperlink r:id="rId28" w:history="1">
        <w:r w:rsidRPr="00943BBD">
          <w:rPr>
            <w:rStyle w:val="Hyperlink"/>
          </w:rPr>
          <w:t>https://www.boards.vic.gov.au</w:t>
        </w:r>
      </w:hyperlink>
      <w:r>
        <w:t xml:space="preserve">), a VPSC guidance website, offers a guide on </w:t>
      </w:r>
      <w:hyperlink r:id="rId29" w:history="1">
        <w:r w:rsidRPr="00673757">
          <w:rPr>
            <w:rStyle w:val="Hyperlink"/>
          </w:rPr>
          <w:t>Assessing public board performance</w:t>
        </w:r>
      </w:hyperlink>
      <w:r>
        <w:t xml:space="preserve"> which includes</w:t>
      </w:r>
      <w:r w:rsidR="004B12E2">
        <w:t>:</w:t>
      </w:r>
    </w:p>
    <w:p w14:paraId="1D7A46DF" w14:textId="7D529D40" w:rsidR="00353B45" w:rsidRDefault="00C01D3B" w:rsidP="002B1611">
      <w:pPr>
        <w:pStyle w:val="ListBullet"/>
        <w:keepLines/>
        <w:tabs>
          <w:tab w:val="num" w:pos="227"/>
          <w:tab w:val="left" w:pos="851"/>
        </w:tabs>
        <w:spacing w:before="60" w:after="40" w:line="264" w:lineRule="auto"/>
        <w:ind w:left="227"/>
      </w:pPr>
      <w:r>
        <w:t>performance survey templates</w:t>
      </w:r>
      <w:r w:rsidR="002B1611">
        <w:t xml:space="preserve">, </w:t>
      </w:r>
      <w:r w:rsidR="00F44B77">
        <w:t>self-</w:t>
      </w:r>
      <w:r w:rsidR="004B12E2">
        <w:t xml:space="preserve">assessment </w:t>
      </w:r>
      <w:r w:rsidR="00F44B77">
        <w:t>templates</w:t>
      </w:r>
      <w:r w:rsidR="002B1611">
        <w:t xml:space="preserve">, </w:t>
      </w:r>
      <w:r w:rsidR="00DE2BDF">
        <w:t>question and answer templates</w:t>
      </w:r>
      <w:r w:rsidR="002B1611">
        <w:t>, etc.</w:t>
      </w:r>
    </w:p>
    <w:p w14:paraId="31E52BD7" w14:textId="35708DA3" w:rsidR="00353B45" w:rsidRDefault="00353B45" w:rsidP="008A7366">
      <w:pPr>
        <w:pStyle w:val="ListBullet"/>
        <w:keepLines/>
        <w:tabs>
          <w:tab w:val="num" w:pos="227"/>
          <w:tab w:val="left" w:pos="851"/>
        </w:tabs>
        <w:spacing w:before="60" w:after="40" w:line="264" w:lineRule="auto"/>
        <w:ind w:left="227"/>
      </w:pPr>
      <w:r>
        <w:t>examples of how to assess board and director performance.</w:t>
      </w:r>
    </w:p>
    <w:p w14:paraId="78854C85" w14:textId="70B33E6B" w:rsidR="009A0D10" w:rsidRPr="008A7366" w:rsidRDefault="009A0D10" w:rsidP="008A7366">
      <w:pPr>
        <w:pStyle w:val="ListBullet"/>
        <w:keepLines/>
        <w:numPr>
          <w:ilvl w:val="0"/>
          <w:numId w:val="0"/>
        </w:numPr>
        <w:tabs>
          <w:tab w:val="left" w:pos="851"/>
        </w:tabs>
        <w:spacing w:before="60" w:after="40" w:line="264" w:lineRule="auto"/>
      </w:pPr>
      <w:r>
        <w:br w:type="page"/>
      </w:r>
    </w:p>
    <w:p w14:paraId="19E7688E" w14:textId="00EDA4AB" w:rsidR="009A0D10" w:rsidRPr="001906BB" w:rsidRDefault="009A0D10" w:rsidP="008A7366">
      <w:pPr>
        <w:pStyle w:val="Heading2"/>
      </w:pPr>
      <w:r w:rsidRPr="001906BB">
        <w:t xml:space="preserve">Appendix 1 </w:t>
      </w:r>
      <w:r w:rsidR="00DB5CAD">
        <w:t>–</w:t>
      </w:r>
      <w:r w:rsidRPr="001906BB">
        <w:t xml:space="preserve"> Criteria for assessing the collective performance of the board</w:t>
      </w:r>
    </w:p>
    <w:p w14:paraId="5DA2D3EB" w14:textId="37D2E859" w:rsidR="009A0D10" w:rsidRPr="00B03314" w:rsidRDefault="009A0D10" w:rsidP="009A0D10">
      <w:r w:rsidRPr="00B03314">
        <w:t>Subject to any guidelines/requirements issued by the Minister</w:t>
      </w:r>
      <w:r>
        <w:t xml:space="preserve"> </w:t>
      </w:r>
      <w:r w:rsidRPr="00B03314">
        <w:t xml:space="preserve">or </w:t>
      </w:r>
      <w:r>
        <w:t>DE</w:t>
      </w:r>
      <w:r w:rsidR="00740971">
        <w:t>ECA</w:t>
      </w:r>
      <w:r w:rsidRPr="00B03314">
        <w:t>, assessment of the board’s collective performance will</w:t>
      </w:r>
      <w:r>
        <w:t xml:space="preserve"> </w:t>
      </w:r>
      <w:r w:rsidRPr="00B03314">
        <w:t>focus on how effectively the board is performing its strategic</w:t>
      </w:r>
      <w:r>
        <w:t xml:space="preserve"> </w:t>
      </w:r>
      <w:r w:rsidRPr="00B03314">
        <w:t>planning, governance, risk management, monitoring and</w:t>
      </w:r>
      <w:r>
        <w:t xml:space="preserve"> </w:t>
      </w:r>
      <w:r w:rsidRPr="00B03314">
        <w:t>reporting, stewardship and other duties, and how effectively</w:t>
      </w:r>
      <w:r>
        <w:t xml:space="preserve"> </w:t>
      </w:r>
      <w:r w:rsidRPr="00B03314">
        <w:t>it is functioning as a collective decision-maker. The board’s</w:t>
      </w:r>
      <w:r>
        <w:t xml:space="preserve"> </w:t>
      </w:r>
      <w:r w:rsidRPr="00B03314">
        <w:t>performance assessment plan will be consistent with the</w:t>
      </w:r>
      <w:r>
        <w:t xml:space="preserve"> </w:t>
      </w:r>
      <w:r w:rsidRPr="00B03314">
        <w:t>following assessment criteria:</w:t>
      </w:r>
    </w:p>
    <w:p w14:paraId="4AA8D163" w14:textId="77777777" w:rsidR="009A0D10" w:rsidRPr="00B03314" w:rsidRDefault="009A0D10" w:rsidP="004A1727">
      <w:pPr>
        <w:pStyle w:val="Heading4"/>
      </w:pPr>
      <w:r w:rsidRPr="00B03314">
        <w:t>Strategic planning</w:t>
      </w:r>
    </w:p>
    <w:p w14:paraId="497595D6"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The development of </w:t>
      </w:r>
      <w:r w:rsidRPr="00700FD9">
        <w:rPr>
          <w:rStyle w:val="Emphasis-Bold"/>
        </w:rPr>
        <w:t>strategic and business plans</w:t>
      </w:r>
      <w:r w:rsidRPr="00B03314">
        <w:t xml:space="preserve"> that will</w:t>
      </w:r>
      <w:r>
        <w:t xml:space="preserve"> </w:t>
      </w:r>
      <w:r w:rsidRPr="00B03314">
        <w:t xml:space="preserve">guide the </w:t>
      </w:r>
      <w:r>
        <w:t>organisation</w:t>
      </w:r>
      <w:r w:rsidRPr="00B03314">
        <w:t xml:space="preserve"> to the effective and efficient fulfilment of its</w:t>
      </w:r>
      <w:r>
        <w:t xml:space="preserve"> </w:t>
      </w:r>
      <w:r w:rsidRPr="00B03314">
        <w:t>functions under the establishing Act.</w:t>
      </w:r>
    </w:p>
    <w:p w14:paraId="3F020889"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Whether the board monitors appropriately the</w:t>
      </w:r>
      <w:r>
        <w:t xml:space="preserve"> </w:t>
      </w:r>
      <w:r w:rsidRPr="00700FD9">
        <w:rPr>
          <w:rStyle w:val="Emphasis-Bold"/>
        </w:rPr>
        <w:t>implementation</w:t>
      </w:r>
      <w:r w:rsidRPr="00B03314">
        <w:t xml:space="preserve"> of its strategic and business plans.</w:t>
      </w:r>
      <w:r>
        <w:t xml:space="preserve"> </w:t>
      </w:r>
    </w:p>
    <w:p w14:paraId="4C0E48C9" w14:textId="77777777" w:rsidR="009A0D10" w:rsidRPr="00B03314" w:rsidRDefault="009A0D10" w:rsidP="004A1727">
      <w:pPr>
        <w:pStyle w:val="Heading4"/>
      </w:pPr>
      <w:r w:rsidRPr="00B03314">
        <w:t>Governance framework</w:t>
      </w:r>
    </w:p>
    <w:p w14:paraId="5B0B18C4" w14:textId="312868F7" w:rsidR="009A0D10" w:rsidRPr="00B03314" w:rsidRDefault="009A0D10" w:rsidP="00717CE4">
      <w:pPr>
        <w:pStyle w:val="ListBullet"/>
        <w:keepLines/>
        <w:tabs>
          <w:tab w:val="left" w:pos="284"/>
          <w:tab w:val="left" w:pos="567"/>
          <w:tab w:val="left" w:pos="851"/>
        </w:tabs>
        <w:spacing w:before="100" w:after="100" w:line="260" w:lineRule="atLeast"/>
        <w:ind w:left="284" w:hanging="284"/>
      </w:pPr>
      <w:r w:rsidRPr="00B03314">
        <w:t xml:space="preserve">Whether the </w:t>
      </w:r>
      <w:r>
        <w:t>organisation</w:t>
      </w:r>
      <w:r w:rsidRPr="00B03314">
        <w:t xml:space="preserve"> is operating in accordance with its</w:t>
      </w:r>
      <w:r>
        <w:t xml:space="preserve"> </w:t>
      </w:r>
      <w:r w:rsidRPr="006237C8">
        <w:rPr>
          <w:rStyle w:val="Emphasis-Bold"/>
        </w:rPr>
        <w:t>governance framework</w:t>
      </w:r>
      <w:r w:rsidRPr="00B03314">
        <w:t xml:space="preserve"> </w:t>
      </w:r>
      <w:r w:rsidR="00717CE4">
        <w:t>–</w:t>
      </w:r>
      <w:r w:rsidRPr="00B03314">
        <w:t xml:space="preserve"> i.e. the laws, government</w:t>
      </w:r>
      <w:r>
        <w:t xml:space="preserve"> </w:t>
      </w:r>
      <w:r w:rsidRPr="00B03314">
        <w:t xml:space="preserve">policies, and other obligations that bind the </w:t>
      </w:r>
      <w:r>
        <w:t>organisation</w:t>
      </w:r>
      <w:r w:rsidRPr="00B03314">
        <w:t>.</w:t>
      </w:r>
    </w:p>
    <w:p w14:paraId="53C1F78F" w14:textId="77777777" w:rsidR="009A0D10" w:rsidRPr="00B03314" w:rsidRDefault="009A0D10" w:rsidP="004A1727">
      <w:pPr>
        <w:pStyle w:val="Heading4"/>
      </w:pPr>
      <w:r w:rsidRPr="00B03314">
        <w:t>Risk management</w:t>
      </w:r>
    </w:p>
    <w:p w14:paraId="5343196A"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The effectiveness of the </w:t>
      </w:r>
      <w:r>
        <w:t>organisation</w:t>
      </w:r>
      <w:r w:rsidRPr="00B03314">
        <w:t xml:space="preserve">’s </w:t>
      </w:r>
      <w:r w:rsidRPr="006237C8">
        <w:rPr>
          <w:rStyle w:val="Emphasis-Bold"/>
        </w:rPr>
        <w:t>risk management</w:t>
      </w:r>
      <w:r w:rsidRPr="00B03314">
        <w:t xml:space="preserve"> systems.</w:t>
      </w:r>
    </w:p>
    <w:p w14:paraId="5032E9FF"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Whether the </w:t>
      </w:r>
      <w:r>
        <w:t>organisation</w:t>
      </w:r>
      <w:r w:rsidRPr="00B03314">
        <w:t xml:space="preserve"> has dealt appropriately with any </w:t>
      </w:r>
      <w:r w:rsidRPr="006237C8">
        <w:rPr>
          <w:rStyle w:val="Emphasis-Bold"/>
        </w:rPr>
        <w:t>public</w:t>
      </w:r>
      <w:r>
        <w:t xml:space="preserve"> </w:t>
      </w:r>
      <w:r w:rsidRPr="006237C8">
        <w:rPr>
          <w:rStyle w:val="Emphasis-Bold"/>
        </w:rPr>
        <w:t>funds</w:t>
      </w:r>
      <w:r w:rsidRPr="00B03314">
        <w:t xml:space="preserve"> that it receives (i.e. used the funds for the allocated</w:t>
      </w:r>
      <w:r>
        <w:t xml:space="preserve"> </w:t>
      </w:r>
      <w:r w:rsidRPr="00B03314">
        <w:t>purpose and otherwise in accordance with public sector</w:t>
      </w:r>
      <w:r>
        <w:t xml:space="preserve"> </w:t>
      </w:r>
      <w:r w:rsidRPr="00B03314">
        <w:t>requirements).</w:t>
      </w:r>
    </w:p>
    <w:p w14:paraId="4C47CA75" w14:textId="764F875F"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Whether the Minister and the Secretary of </w:t>
      </w:r>
      <w:r>
        <w:t>DE</w:t>
      </w:r>
      <w:r w:rsidR="00740971">
        <w:t>ECA</w:t>
      </w:r>
      <w:r w:rsidRPr="00B03314">
        <w:t xml:space="preserve"> have been</w:t>
      </w:r>
      <w:r>
        <w:t xml:space="preserve"> </w:t>
      </w:r>
      <w:r w:rsidRPr="00B03314">
        <w:t xml:space="preserve">notified of any known </w:t>
      </w:r>
      <w:r w:rsidRPr="006237C8">
        <w:rPr>
          <w:rStyle w:val="Emphasis-Bold"/>
        </w:rPr>
        <w:t>major</w:t>
      </w:r>
      <w:r w:rsidRPr="00B03314">
        <w:t xml:space="preserve"> </w:t>
      </w:r>
      <w:r w:rsidRPr="006237C8">
        <w:rPr>
          <w:rStyle w:val="Emphasis-Bold"/>
        </w:rPr>
        <w:t>risks</w:t>
      </w:r>
      <w:r w:rsidRPr="00B03314">
        <w:t xml:space="preserve"> (existing or emerging) to</w:t>
      </w:r>
      <w:r>
        <w:t xml:space="preserve"> </w:t>
      </w:r>
      <w:r w:rsidRPr="00B03314">
        <w:t xml:space="preserve">the effective operation of the </w:t>
      </w:r>
      <w:r>
        <w:t>organisation</w:t>
      </w:r>
      <w:r w:rsidRPr="00B03314">
        <w:t xml:space="preserve"> and of the management</w:t>
      </w:r>
      <w:r>
        <w:t xml:space="preserve"> </w:t>
      </w:r>
      <w:r w:rsidRPr="00B03314">
        <w:t>systems that are in place to address those risks.</w:t>
      </w:r>
    </w:p>
    <w:p w14:paraId="792EB6C7" w14:textId="77777777" w:rsidR="009A0D10" w:rsidRPr="00B03314" w:rsidRDefault="009A0D10" w:rsidP="004A1727">
      <w:pPr>
        <w:pStyle w:val="Heading4"/>
      </w:pPr>
      <w:r w:rsidRPr="00B03314">
        <w:t>Stewardship</w:t>
      </w:r>
    </w:p>
    <w:p w14:paraId="1026ED0D"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How well the board is monitoring and managing the</w:t>
      </w:r>
      <w:r>
        <w:t xml:space="preserve"> </w:t>
      </w:r>
      <w:r w:rsidRPr="00B03314">
        <w:t xml:space="preserve">performance of the </w:t>
      </w:r>
      <w:r w:rsidRPr="006237C8">
        <w:rPr>
          <w:rStyle w:val="Emphasis-Bold"/>
        </w:rPr>
        <w:t>CEO</w:t>
      </w:r>
      <w:r w:rsidRPr="00B03314">
        <w:t>.</w:t>
      </w:r>
    </w:p>
    <w:p w14:paraId="4060CFD5"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Whether the </w:t>
      </w:r>
      <w:r>
        <w:rPr>
          <w:rStyle w:val="Emphasis-Bold"/>
        </w:rPr>
        <w:t>organisation</w:t>
      </w:r>
      <w:r w:rsidRPr="00B03314">
        <w:t xml:space="preserve"> has </w:t>
      </w:r>
      <w:r w:rsidRPr="006237C8">
        <w:rPr>
          <w:rStyle w:val="Emphasis-Bold"/>
        </w:rPr>
        <w:t>policies and procedures</w:t>
      </w:r>
      <w:r w:rsidRPr="00B03314">
        <w:t xml:space="preserve"> in place that</w:t>
      </w:r>
      <w:r>
        <w:t xml:space="preserve"> </w:t>
      </w:r>
      <w:r w:rsidRPr="00B03314">
        <w:t>support its effective operation AND systems to ensure that</w:t>
      </w:r>
      <w:r>
        <w:t xml:space="preserve"> </w:t>
      </w:r>
      <w:r w:rsidRPr="00B03314">
        <w:t>employees understand and comply with these requirements.</w:t>
      </w:r>
    </w:p>
    <w:p w14:paraId="5D11FC7D" w14:textId="77777777" w:rsidR="009A0D10"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Whether the </w:t>
      </w:r>
      <w:r w:rsidRPr="006237C8">
        <w:rPr>
          <w:rStyle w:val="Emphasis-Bold"/>
        </w:rPr>
        <w:t>culture and operations</w:t>
      </w:r>
      <w:r w:rsidRPr="00B03314">
        <w:t xml:space="preserve"> of the </w:t>
      </w:r>
      <w:r>
        <w:t>organisation</w:t>
      </w:r>
      <w:r w:rsidRPr="00B03314">
        <w:t xml:space="preserve"> are</w:t>
      </w:r>
      <w:r>
        <w:t xml:space="preserve"> </w:t>
      </w:r>
      <w:r w:rsidRPr="00B03314">
        <w:t>consistent with the public sector values, the Code of</w:t>
      </w:r>
      <w:r>
        <w:t xml:space="preserve"> </w:t>
      </w:r>
      <w:r w:rsidRPr="00B03314">
        <w:t>Conduct for Victorian Public Sector Employees, and the</w:t>
      </w:r>
      <w:r>
        <w:t xml:space="preserve"> </w:t>
      </w:r>
      <w:r w:rsidRPr="00B03314">
        <w:t>public sector employment principles and standards.</w:t>
      </w:r>
    </w:p>
    <w:p w14:paraId="161026A6" w14:textId="77777777" w:rsidR="009A0D10" w:rsidRPr="00B03314" w:rsidRDefault="009A0D10" w:rsidP="004A1727">
      <w:pPr>
        <w:pStyle w:val="Heading4"/>
      </w:pPr>
      <w:r w:rsidRPr="00B03314">
        <w:t>Performance (including monitoring and</w:t>
      </w:r>
      <w:r>
        <w:t xml:space="preserve"> </w:t>
      </w:r>
      <w:r w:rsidRPr="00B03314">
        <w:t>reporting)</w:t>
      </w:r>
    </w:p>
    <w:p w14:paraId="04A75C9D"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Whether the </w:t>
      </w:r>
      <w:r>
        <w:t>organisation</w:t>
      </w:r>
      <w:r w:rsidRPr="00B03314">
        <w:t xml:space="preserve">’s </w:t>
      </w:r>
      <w:r w:rsidRPr="006237C8">
        <w:rPr>
          <w:rStyle w:val="Emphasis-Bold"/>
        </w:rPr>
        <w:t>functions</w:t>
      </w:r>
      <w:r w:rsidRPr="00B03314">
        <w:t xml:space="preserve"> are being fulfilled.</w:t>
      </w:r>
    </w:p>
    <w:p w14:paraId="2398B041"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How well the board is </w:t>
      </w:r>
      <w:r w:rsidRPr="006237C8">
        <w:rPr>
          <w:rStyle w:val="Emphasis-Bold"/>
        </w:rPr>
        <w:t>monitoring</w:t>
      </w:r>
      <w:r w:rsidRPr="00B03314">
        <w:t xml:space="preserve"> the performance of the</w:t>
      </w:r>
      <w:r>
        <w:t xml:space="preserve"> organisation</w:t>
      </w:r>
      <w:r w:rsidRPr="00B03314">
        <w:t>.</w:t>
      </w:r>
    </w:p>
    <w:p w14:paraId="33AE7073"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Whether the </w:t>
      </w:r>
      <w:r>
        <w:t>organisation</w:t>
      </w:r>
      <w:r w:rsidRPr="00B03314">
        <w:t xml:space="preserve">’s </w:t>
      </w:r>
      <w:r w:rsidRPr="006237C8">
        <w:rPr>
          <w:rStyle w:val="Emphasis-Bold"/>
        </w:rPr>
        <w:t>reporting</w:t>
      </w:r>
      <w:r w:rsidRPr="00B03314">
        <w:t xml:space="preserve"> obligations (e.g. annual</w:t>
      </w:r>
      <w:r>
        <w:t xml:space="preserve"> </w:t>
      </w:r>
      <w:r w:rsidRPr="00B03314">
        <w:t>reporting) are being properly discharged.</w:t>
      </w:r>
    </w:p>
    <w:p w14:paraId="461CC684" w14:textId="77777777" w:rsidR="009A0D10"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The overall performance of the </w:t>
      </w:r>
      <w:r>
        <w:t>organisation</w:t>
      </w:r>
      <w:r w:rsidRPr="00B03314">
        <w:t xml:space="preserve">, </w:t>
      </w:r>
      <w:proofErr w:type="gramStart"/>
      <w:r w:rsidRPr="00B03314">
        <w:t>taking into account</w:t>
      </w:r>
      <w:proofErr w:type="gramEnd"/>
      <w:r>
        <w:t xml:space="preserve"> </w:t>
      </w:r>
      <w:r w:rsidRPr="00B03314">
        <w:t xml:space="preserve">the </w:t>
      </w:r>
      <w:r w:rsidRPr="006237C8">
        <w:rPr>
          <w:rStyle w:val="Emphasis-Bold"/>
        </w:rPr>
        <w:t>operational context</w:t>
      </w:r>
      <w:r w:rsidRPr="00B03314">
        <w:t xml:space="preserve"> (e.g. severe drought).</w:t>
      </w:r>
      <w:r>
        <w:t xml:space="preserve"> </w:t>
      </w:r>
    </w:p>
    <w:p w14:paraId="58F88E84" w14:textId="77777777" w:rsidR="009A0D10" w:rsidRPr="00B03314" w:rsidRDefault="009A0D10" w:rsidP="004A1727">
      <w:pPr>
        <w:pStyle w:val="Heading4"/>
      </w:pPr>
      <w:r w:rsidRPr="00B03314">
        <w:t>The board as a collective decision-maker</w:t>
      </w:r>
    </w:p>
    <w:p w14:paraId="5280529E" w14:textId="640937D4"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How effectively the board functions as a </w:t>
      </w:r>
      <w:r w:rsidRPr="006237C8">
        <w:rPr>
          <w:rStyle w:val="Emphasis-Bold"/>
        </w:rPr>
        <w:t>collective</w:t>
      </w:r>
      <w:r>
        <w:t xml:space="preserve"> </w:t>
      </w:r>
      <w:r w:rsidRPr="006237C8">
        <w:rPr>
          <w:rStyle w:val="Emphasis-Bold"/>
        </w:rPr>
        <w:t>decision-maker</w:t>
      </w:r>
      <w:r w:rsidRPr="00B03314">
        <w:t xml:space="preserve"> – i.e. makes decisions that are in the public</w:t>
      </w:r>
      <w:r>
        <w:t xml:space="preserve"> </w:t>
      </w:r>
      <w:r w:rsidRPr="00B03314">
        <w:t xml:space="preserve">interest, in accordance with its </w:t>
      </w:r>
      <w:r w:rsidR="00040B53">
        <w:rPr>
          <w:i/>
        </w:rPr>
        <w:t>Board meetings and decisions</w:t>
      </w:r>
      <w:r>
        <w:t xml:space="preserve"> policy.</w:t>
      </w:r>
      <w:r w:rsidRPr="00B03314">
        <w:t xml:space="preserve"> This includes an assessment</w:t>
      </w:r>
      <w:r>
        <w:t xml:space="preserve"> </w:t>
      </w:r>
      <w:r w:rsidRPr="00B03314">
        <w:t>of how well the board:</w:t>
      </w:r>
    </w:p>
    <w:p w14:paraId="1FEE4A1F" w14:textId="77777777" w:rsidR="009A0D10" w:rsidRPr="003A1E03" w:rsidRDefault="009A0D10" w:rsidP="009A0D10">
      <w:pPr>
        <w:pStyle w:val="ListBullet2"/>
        <w:keepLines/>
        <w:tabs>
          <w:tab w:val="left" w:pos="284"/>
          <w:tab w:val="left" w:pos="567"/>
          <w:tab w:val="left" w:pos="851"/>
          <w:tab w:val="num" w:pos="1134"/>
        </w:tabs>
        <w:spacing w:before="100" w:after="100" w:line="260" w:lineRule="atLeast"/>
        <w:ind w:left="568" w:hanging="284"/>
      </w:pPr>
      <w:r w:rsidRPr="003A1E03">
        <w:t xml:space="preserve">functions as a </w:t>
      </w:r>
      <w:proofErr w:type="gramStart"/>
      <w:r w:rsidRPr="003A1E03">
        <w:t>team;</w:t>
      </w:r>
      <w:proofErr w:type="gramEnd"/>
    </w:p>
    <w:p w14:paraId="139E4F1F" w14:textId="77777777" w:rsidR="009A0D10" w:rsidRPr="003A1E03" w:rsidRDefault="009A0D10" w:rsidP="009A0D10">
      <w:pPr>
        <w:pStyle w:val="ListBullet2"/>
        <w:keepLines/>
        <w:tabs>
          <w:tab w:val="left" w:pos="284"/>
          <w:tab w:val="left" w:pos="567"/>
          <w:tab w:val="left" w:pos="851"/>
          <w:tab w:val="num" w:pos="1134"/>
        </w:tabs>
        <w:spacing w:before="100" w:after="100" w:line="260" w:lineRule="atLeast"/>
        <w:ind w:left="568" w:hanging="284"/>
      </w:pPr>
      <w:r w:rsidRPr="003A1E03">
        <w:t xml:space="preserve">sets and completes its annual work </w:t>
      </w:r>
      <w:proofErr w:type="gramStart"/>
      <w:r w:rsidRPr="003A1E03">
        <w:t>program;</w:t>
      </w:r>
      <w:proofErr w:type="gramEnd"/>
    </w:p>
    <w:p w14:paraId="3B4E1328" w14:textId="77777777" w:rsidR="009A0D10" w:rsidRPr="003A1E03" w:rsidRDefault="009A0D10" w:rsidP="009A0D10">
      <w:pPr>
        <w:pStyle w:val="ListBullet2"/>
        <w:keepLines/>
        <w:tabs>
          <w:tab w:val="left" w:pos="284"/>
          <w:tab w:val="left" w:pos="567"/>
          <w:tab w:val="left" w:pos="851"/>
          <w:tab w:val="num" w:pos="1134"/>
        </w:tabs>
        <w:spacing w:before="100" w:after="100" w:line="260" w:lineRule="atLeast"/>
        <w:ind w:left="568" w:hanging="284"/>
      </w:pPr>
      <w:r w:rsidRPr="003A1E03">
        <w:t xml:space="preserve">ensures that the reports (e.g. financial reports) and other information that it receives are suitable to its </w:t>
      </w:r>
      <w:proofErr w:type="gramStart"/>
      <w:r w:rsidRPr="003A1E03">
        <w:t>needs;</w:t>
      </w:r>
      <w:proofErr w:type="gramEnd"/>
    </w:p>
    <w:p w14:paraId="3D41B687" w14:textId="77777777" w:rsidR="009A0D10" w:rsidRPr="003A1E03" w:rsidRDefault="009A0D10" w:rsidP="009A0D10">
      <w:pPr>
        <w:pStyle w:val="ListBullet2"/>
        <w:keepLines/>
        <w:tabs>
          <w:tab w:val="left" w:pos="284"/>
          <w:tab w:val="left" w:pos="567"/>
          <w:tab w:val="left" w:pos="851"/>
          <w:tab w:val="num" w:pos="1134"/>
        </w:tabs>
        <w:spacing w:before="100" w:after="100" w:line="260" w:lineRule="atLeast"/>
        <w:ind w:left="568" w:hanging="284"/>
      </w:pPr>
      <w:r w:rsidRPr="003A1E03">
        <w:t>follows its meeting procedures; and</w:t>
      </w:r>
    </w:p>
    <w:p w14:paraId="1D044072" w14:textId="77777777" w:rsidR="009A0D10" w:rsidRPr="003A1E03" w:rsidRDefault="009A0D10" w:rsidP="009A0D10">
      <w:pPr>
        <w:pStyle w:val="ListBullet2"/>
        <w:keepLines/>
        <w:tabs>
          <w:tab w:val="left" w:pos="284"/>
          <w:tab w:val="left" w:pos="567"/>
          <w:tab w:val="left" w:pos="851"/>
          <w:tab w:val="num" w:pos="1134"/>
        </w:tabs>
        <w:spacing w:before="100" w:after="100" w:line="260" w:lineRule="atLeast"/>
        <w:ind w:left="568" w:hanging="284"/>
      </w:pPr>
      <w:r w:rsidRPr="003A1E03">
        <w:t>follows its decision-making procedures.</w:t>
      </w:r>
    </w:p>
    <w:p w14:paraId="4729225E" w14:textId="77777777" w:rsidR="009A0D10"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Whether suitable </w:t>
      </w:r>
      <w:r w:rsidRPr="006237C8">
        <w:rPr>
          <w:rStyle w:val="Emphasis-Bold"/>
        </w:rPr>
        <w:t>board policies</w:t>
      </w:r>
      <w:r w:rsidRPr="00B03314">
        <w:t xml:space="preserve"> are in place AND whether</w:t>
      </w:r>
      <w:r>
        <w:t xml:space="preserve"> </w:t>
      </w:r>
      <w:r w:rsidRPr="00B03314">
        <w:t>board members (individually and collectively) comply with</w:t>
      </w:r>
      <w:r>
        <w:t xml:space="preserve"> </w:t>
      </w:r>
      <w:r w:rsidRPr="00B03314">
        <w:t>these requirements. The key policies are:</w:t>
      </w:r>
      <w:r>
        <w:t xml:space="preserve"> </w:t>
      </w:r>
    </w:p>
    <w:p w14:paraId="10183888" w14:textId="50AFA4A5" w:rsidR="009A0D10" w:rsidRPr="0014704F" w:rsidRDefault="009A0D10"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r w:rsidRPr="008A7366">
        <w:rPr>
          <w:rStyle w:val="Emphasis-Italics"/>
          <w:i w:val="0"/>
          <w:iCs/>
        </w:rPr>
        <w:t xml:space="preserve">Conflict of </w:t>
      </w:r>
      <w:proofErr w:type="gramStart"/>
      <w:r w:rsidR="00A65643">
        <w:rPr>
          <w:rStyle w:val="Emphasis-Italics"/>
          <w:i w:val="0"/>
          <w:iCs/>
        </w:rPr>
        <w:t>i</w:t>
      </w:r>
      <w:r w:rsidRPr="008A7366">
        <w:rPr>
          <w:rStyle w:val="Emphasis-Italics"/>
          <w:i w:val="0"/>
          <w:iCs/>
        </w:rPr>
        <w:t>nterest;</w:t>
      </w:r>
      <w:proofErr w:type="gramEnd"/>
    </w:p>
    <w:p w14:paraId="0C3D7EB8" w14:textId="6D4B9913" w:rsidR="009A0D10" w:rsidRPr="0014704F" w:rsidRDefault="009A0D10"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r w:rsidRPr="008A7366">
        <w:rPr>
          <w:rStyle w:val="Emphasis-Italics"/>
          <w:i w:val="0"/>
          <w:iCs/>
        </w:rPr>
        <w:t xml:space="preserve">Gifts, </w:t>
      </w:r>
      <w:r w:rsidR="00040B53">
        <w:rPr>
          <w:rStyle w:val="Emphasis-Italics"/>
          <w:i w:val="0"/>
          <w:iCs/>
        </w:rPr>
        <w:t>b</w:t>
      </w:r>
      <w:r w:rsidRPr="008A7366">
        <w:rPr>
          <w:rStyle w:val="Emphasis-Italics"/>
          <w:i w:val="0"/>
          <w:iCs/>
        </w:rPr>
        <w:t xml:space="preserve">enefits and </w:t>
      </w:r>
      <w:proofErr w:type="gramStart"/>
      <w:r w:rsidR="00040B53">
        <w:rPr>
          <w:rStyle w:val="Emphasis-Italics"/>
          <w:i w:val="0"/>
          <w:iCs/>
        </w:rPr>
        <w:t>h</w:t>
      </w:r>
      <w:r w:rsidRPr="008A7366">
        <w:rPr>
          <w:rStyle w:val="Emphasis-Italics"/>
          <w:i w:val="0"/>
          <w:iCs/>
        </w:rPr>
        <w:t>ospitality;</w:t>
      </w:r>
      <w:proofErr w:type="gramEnd"/>
    </w:p>
    <w:p w14:paraId="2E330CFF" w14:textId="083C7228" w:rsidR="009A0D10" w:rsidRPr="0014704F" w:rsidRDefault="009A0D10"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r w:rsidRPr="008A7366">
        <w:rPr>
          <w:rStyle w:val="Emphasis-Italics"/>
          <w:i w:val="0"/>
          <w:iCs/>
        </w:rPr>
        <w:t xml:space="preserve">Code of </w:t>
      </w:r>
      <w:proofErr w:type="gramStart"/>
      <w:r w:rsidR="00040B53">
        <w:rPr>
          <w:rStyle w:val="Emphasis-Italics"/>
          <w:i w:val="0"/>
          <w:iCs/>
        </w:rPr>
        <w:t>c</w:t>
      </w:r>
      <w:r w:rsidRPr="008A7366">
        <w:rPr>
          <w:rStyle w:val="Emphasis-Italics"/>
          <w:i w:val="0"/>
          <w:iCs/>
        </w:rPr>
        <w:t>onduct;</w:t>
      </w:r>
      <w:proofErr w:type="gramEnd"/>
    </w:p>
    <w:p w14:paraId="7786564B" w14:textId="5A00CEF7" w:rsidR="009A0D10" w:rsidRPr="0014704F" w:rsidRDefault="00040B53"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r>
        <w:rPr>
          <w:rStyle w:val="Emphasis-Italics"/>
          <w:i w:val="0"/>
          <w:iCs/>
        </w:rPr>
        <w:t xml:space="preserve">Board meetings and </w:t>
      </w:r>
      <w:proofErr w:type="gramStart"/>
      <w:r>
        <w:rPr>
          <w:rStyle w:val="Emphasis-Italics"/>
          <w:i w:val="0"/>
          <w:iCs/>
        </w:rPr>
        <w:t>decisions</w:t>
      </w:r>
      <w:r w:rsidR="009A0D10" w:rsidRPr="008A7366">
        <w:rPr>
          <w:rStyle w:val="Emphasis-Italics"/>
          <w:i w:val="0"/>
          <w:iCs/>
        </w:rPr>
        <w:t>;</w:t>
      </w:r>
      <w:proofErr w:type="gramEnd"/>
    </w:p>
    <w:p w14:paraId="77A97C45" w14:textId="6C10CDDE" w:rsidR="009A0D10" w:rsidRPr="0014704F" w:rsidRDefault="009A0D10"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r w:rsidRPr="008A7366">
        <w:rPr>
          <w:rStyle w:val="Emphasis-Italics"/>
          <w:i w:val="0"/>
          <w:iCs/>
        </w:rPr>
        <w:t xml:space="preserve">Dispute </w:t>
      </w:r>
      <w:r w:rsidR="00040B53">
        <w:rPr>
          <w:rStyle w:val="Emphasis-Italics"/>
          <w:i w:val="0"/>
          <w:iCs/>
        </w:rPr>
        <w:t>r</w:t>
      </w:r>
      <w:r w:rsidRPr="008A7366">
        <w:rPr>
          <w:rStyle w:val="Emphasis-Italics"/>
          <w:i w:val="0"/>
          <w:iCs/>
        </w:rPr>
        <w:t>esolution; and</w:t>
      </w:r>
    </w:p>
    <w:p w14:paraId="3C115B2D" w14:textId="5BB6AC51" w:rsidR="009A0D10" w:rsidRPr="0014704F" w:rsidRDefault="009A0D10"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r w:rsidRPr="008A7366">
        <w:rPr>
          <w:rStyle w:val="Emphasis-Italics"/>
          <w:i w:val="0"/>
          <w:iCs/>
        </w:rPr>
        <w:t xml:space="preserve">Performance </w:t>
      </w:r>
      <w:r w:rsidR="00040B53">
        <w:rPr>
          <w:rStyle w:val="Emphasis-Italics"/>
          <w:i w:val="0"/>
          <w:iCs/>
        </w:rPr>
        <w:t>a</w:t>
      </w:r>
      <w:r w:rsidRPr="008A7366">
        <w:rPr>
          <w:rStyle w:val="Emphasis-Italics"/>
          <w:i w:val="0"/>
          <w:iCs/>
        </w:rPr>
        <w:t>ssessment.</w:t>
      </w:r>
    </w:p>
    <w:p w14:paraId="00E3ADC9" w14:textId="77777777" w:rsidR="009A0D10" w:rsidRDefault="009A0D10" w:rsidP="009A0D10">
      <w:pPr>
        <w:ind w:firstLine="227"/>
      </w:pPr>
      <w:r w:rsidRPr="00B03314">
        <w:t>Other significant policies include</w:t>
      </w:r>
      <w:r>
        <w:t>:</w:t>
      </w:r>
    </w:p>
    <w:p w14:paraId="398EA2BB" w14:textId="02445B4E" w:rsidR="009A0D10" w:rsidRPr="0014704F" w:rsidRDefault="009A0D10"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r w:rsidRPr="008A7366">
        <w:rPr>
          <w:rStyle w:val="Emphasis-Italics"/>
          <w:i w:val="0"/>
          <w:iCs/>
        </w:rPr>
        <w:t xml:space="preserve">Induction and </w:t>
      </w:r>
      <w:r w:rsidR="00040B53">
        <w:rPr>
          <w:rStyle w:val="Emphasis-Italics"/>
          <w:i w:val="0"/>
          <w:iCs/>
        </w:rPr>
        <w:t xml:space="preserve">continuing </w:t>
      </w:r>
      <w:proofErr w:type="gramStart"/>
      <w:r w:rsidR="00040B53">
        <w:rPr>
          <w:rStyle w:val="Emphasis-Italics"/>
          <w:i w:val="0"/>
          <w:iCs/>
        </w:rPr>
        <w:t>education</w:t>
      </w:r>
      <w:r w:rsidRPr="008A7366">
        <w:rPr>
          <w:rStyle w:val="Emphasis-Italics"/>
          <w:i w:val="0"/>
          <w:iCs/>
        </w:rPr>
        <w:t>;</w:t>
      </w:r>
      <w:proofErr w:type="gramEnd"/>
      <w:r w:rsidRPr="008A7366">
        <w:rPr>
          <w:rStyle w:val="Emphasis-Italics"/>
          <w:i w:val="0"/>
          <w:iCs/>
        </w:rPr>
        <w:t xml:space="preserve"> </w:t>
      </w:r>
    </w:p>
    <w:p w14:paraId="3005A7F1" w14:textId="77777777" w:rsidR="009A0D10" w:rsidRPr="0014704F" w:rsidRDefault="009A0D10"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proofErr w:type="gramStart"/>
      <w:r w:rsidRPr="008A7366">
        <w:rPr>
          <w:rStyle w:val="Emphasis-Italics"/>
          <w:i w:val="0"/>
          <w:iCs/>
        </w:rPr>
        <w:t>Subcommittees;</w:t>
      </w:r>
      <w:proofErr w:type="gramEnd"/>
    </w:p>
    <w:p w14:paraId="64089CD8" w14:textId="77777777" w:rsidR="009A0D10" w:rsidRPr="0014704F" w:rsidRDefault="009A0D10"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r w:rsidRPr="008A7366">
        <w:rPr>
          <w:rStyle w:val="Emphasis-Italics"/>
          <w:i w:val="0"/>
          <w:iCs/>
        </w:rPr>
        <w:t>[insert if applicable] Delegations; and</w:t>
      </w:r>
    </w:p>
    <w:p w14:paraId="3975F192" w14:textId="136F7789" w:rsidR="009A0D10" w:rsidRPr="0014704F" w:rsidRDefault="003D43DC" w:rsidP="009A0D10">
      <w:pPr>
        <w:pStyle w:val="ListBullet2"/>
        <w:keepLines/>
        <w:tabs>
          <w:tab w:val="left" w:pos="284"/>
          <w:tab w:val="left" w:pos="567"/>
          <w:tab w:val="left" w:pos="851"/>
          <w:tab w:val="num" w:pos="1134"/>
        </w:tabs>
        <w:spacing w:before="100" w:after="100" w:line="260" w:lineRule="atLeast"/>
        <w:ind w:left="568" w:hanging="284"/>
        <w:rPr>
          <w:rStyle w:val="Emphasis-Italics"/>
          <w:i w:val="0"/>
          <w:iCs/>
        </w:rPr>
      </w:pPr>
      <w:r>
        <w:rPr>
          <w:rStyle w:val="Emphasis-Italics"/>
          <w:i w:val="0"/>
          <w:iCs/>
        </w:rPr>
        <w:t>Privacy</w:t>
      </w:r>
      <w:r w:rsidR="009A0D10" w:rsidRPr="008A7366">
        <w:rPr>
          <w:rStyle w:val="Emphasis-Italics"/>
          <w:i w:val="0"/>
          <w:iCs/>
        </w:rPr>
        <w:t>.</w:t>
      </w:r>
    </w:p>
    <w:p w14:paraId="7CC1457A"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Whether the </w:t>
      </w:r>
      <w:r w:rsidRPr="008A7366">
        <w:rPr>
          <w:rStyle w:val="Emphasis-Bold"/>
          <w:b w:val="0"/>
          <w:bCs/>
        </w:rPr>
        <w:t>culture and operations</w:t>
      </w:r>
      <w:r w:rsidRPr="00B03314">
        <w:t xml:space="preserve"> of the board are</w:t>
      </w:r>
      <w:r>
        <w:t xml:space="preserve"> </w:t>
      </w:r>
      <w:r w:rsidRPr="00B03314">
        <w:t xml:space="preserve">consistent with the public sector values, the </w:t>
      </w:r>
      <w:r w:rsidRPr="006237C8">
        <w:rPr>
          <w:rStyle w:val="Emphasis-Bold"/>
        </w:rPr>
        <w:t>Directors’</w:t>
      </w:r>
      <w:r>
        <w:t xml:space="preserve"> </w:t>
      </w:r>
      <w:r w:rsidRPr="006237C8">
        <w:rPr>
          <w:rStyle w:val="Emphasis-Bold"/>
        </w:rPr>
        <w:t>Code of Conduct</w:t>
      </w:r>
      <w:r w:rsidRPr="00B03314">
        <w:t>, and the public sector employment</w:t>
      </w:r>
      <w:r>
        <w:t xml:space="preserve"> </w:t>
      </w:r>
      <w:r w:rsidRPr="00B03314">
        <w:t>principles and standards.</w:t>
      </w:r>
    </w:p>
    <w:p w14:paraId="1D93588D" w14:textId="36497F1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How appropriately and effectively the board is engaging with</w:t>
      </w:r>
      <w:r>
        <w:t xml:space="preserve"> </w:t>
      </w:r>
      <w:r w:rsidRPr="00B03314">
        <w:t xml:space="preserve">key </w:t>
      </w:r>
      <w:r w:rsidRPr="006237C8">
        <w:rPr>
          <w:rStyle w:val="Emphasis-Bold"/>
        </w:rPr>
        <w:t>stakeholders</w:t>
      </w:r>
      <w:r w:rsidRPr="00B03314">
        <w:t xml:space="preserve"> (e.g. the Minister, </w:t>
      </w:r>
      <w:r>
        <w:t>DE</w:t>
      </w:r>
      <w:r w:rsidR="00740971">
        <w:t>ECA</w:t>
      </w:r>
      <w:r w:rsidRPr="00B03314">
        <w:t>, the CEO).</w:t>
      </w:r>
    </w:p>
    <w:p w14:paraId="38B8DD2F" w14:textId="77777777" w:rsidR="009A0D10" w:rsidRPr="00B03314"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The existence of a suitable </w:t>
      </w:r>
      <w:r w:rsidRPr="006237C8">
        <w:rPr>
          <w:rStyle w:val="Emphasis-Bold"/>
        </w:rPr>
        <w:t>induction</w:t>
      </w:r>
      <w:r w:rsidRPr="00B03314">
        <w:t xml:space="preserve"> process and kit for</w:t>
      </w:r>
      <w:r>
        <w:t xml:space="preserve"> </w:t>
      </w:r>
      <w:r w:rsidRPr="00B03314">
        <w:t>board members.</w:t>
      </w:r>
    </w:p>
    <w:p w14:paraId="270A2440" w14:textId="77777777" w:rsidR="009A0D10" w:rsidRDefault="009A0D10" w:rsidP="009A0D10">
      <w:pPr>
        <w:pStyle w:val="ListBullet"/>
        <w:keepLines/>
        <w:tabs>
          <w:tab w:val="left" w:pos="284"/>
          <w:tab w:val="left" w:pos="567"/>
          <w:tab w:val="left" w:pos="851"/>
        </w:tabs>
        <w:spacing w:before="100" w:after="100" w:line="260" w:lineRule="atLeast"/>
        <w:ind w:left="284" w:hanging="284"/>
      </w:pPr>
      <w:r w:rsidRPr="00B03314">
        <w:t xml:space="preserve">Whether board members </w:t>
      </w:r>
      <w:proofErr w:type="gramStart"/>
      <w:r w:rsidRPr="00B03314">
        <w:t>have the opportunity to</w:t>
      </w:r>
      <w:proofErr w:type="gramEnd"/>
      <w:r w:rsidRPr="00B03314">
        <w:t xml:space="preserve"> improve</w:t>
      </w:r>
      <w:r w:rsidRPr="002735D5">
        <w:t xml:space="preserve"> their skills in the required areas.</w:t>
      </w:r>
    </w:p>
    <w:p w14:paraId="4B1D6C5D" w14:textId="77777777" w:rsidR="009A0D10" w:rsidRDefault="009A0D10" w:rsidP="009A0D10">
      <w:pPr>
        <w:pStyle w:val="ListBullet"/>
        <w:keepLines/>
        <w:tabs>
          <w:tab w:val="left" w:pos="284"/>
          <w:tab w:val="left" w:pos="567"/>
          <w:tab w:val="left" w:pos="851"/>
        </w:tabs>
        <w:spacing w:before="100" w:after="100" w:line="260" w:lineRule="atLeast"/>
        <w:ind w:left="284" w:hanging="284"/>
      </w:pPr>
      <w:r>
        <w:t xml:space="preserve">The effective use and functioning of </w:t>
      </w:r>
      <w:r w:rsidRPr="006237C8">
        <w:rPr>
          <w:rStyle w:val="Emphasis-Bold"/>
        </w:rPr>
        <w:t>sub-committees</w:t>
      </w:r>
      <w:r>
        <w:t>.</w:t>
      </w:r>
    </w:p>
    <w:p w14:paraId="42D2FFB4" w14:textId="77777777" w:rsidR="009A0D10" w:rsidRDefault="009A0D10" w:rsidP="009A0D10">
      <w:pPr>
        <w:pStyle w:val="ListBullet"/>
        <w:keepLines/>
        <w:tabs>
          <w:tab w:val="left" w:pos="284"/>
          <w:tab w:val="left" w:pos="567"/>
          <w:tab w:val="left" w:pos="851"/>
        </w:tabs>
        <w:spacing w:before="100" w:after="100" w:line="260" w:lineRule="atLeast"/>
        <w:ind w:left="284" w:hanging="284"/>
      </w:pPr>
      <w:r>
        <w:t xml:space="preserve">The proper documentation and use of </w:t>
      </w:r>
      <w:r w:rsidRPr="006237C8">
        <w:rPr>
          <w:rStyle w:val="Emphasis-Bold"/>
        </w:rPr>
        <w:t>delegations</w:t>
      </w:r>
      <w:r>
        <w:t>.</w:t>
      </w:r>
    </w:p>
    <w:p w14:paraId="33A88704" w14:textId="77777777" w:rsidR="009A0D10" w:rsidRDefault="009A0D10" w:rsidP="009A0D10">
      <w:pPr>
        <w:pStyle w:val="ListBullet"/>
        <w:keepLines/>
        <w:tabs>
          <w:tab w:val="left" w:pos="284"/>
          <w:tab w:val="left" w:pos="567"/>
          <w:tab w:val="left" w:pos="851"/>
        </w:tabs>
        <w:spacing w:before="100" w:after="100" w:line="260" w:lineRule="atLeast"/>
        <w:ind w:left="284" w:hanging="284"/>
      </w:pPr>
      <w:r>
        <w:t xml:space="preserve">The </w:t>
      </w:r>
      <w:r w:rsidRPr="006237C8">
        <w:rPr>
          <w:rStyle w:val="Emphasis-Bold"/>
        </w:rPr>
        <w:t>overall performance</w:t>
      </w:r>
      <w:r>
        <w:t xml:space="preserve"> of the board, </w:t>
      </w:r>
      <w:proofErr w:type="gramStart"/>
      <w:r>
        <w:t>taking into account</w:t>
      </w:r>
      <w:proofErr w:type="gramEnd"/>
      <w:r>
        <w:t xml:space="preserve"> the </w:t>
      </w:r>
      <w:r w:rsidRPr="006237C8">
        <w:rPr>
          <w:rStyle w:val="Emphasis-Bold"/>
        </w:rPr>
        <w:t>operational context</w:t>
      </w:r>
      <w:r>
        <w:t xml:space="preserve"> (e.g. severe drought).</w:t>
      </w:r>
    </w:p>
    <w:p w14:paraId="63506A22" w14:textId="77777777" w:rsidR="009A0D10" w:rsidRPr="00A87699" w:rsidRDefault="009A0D10" w:rsidP="009A0D10">
      <w:pPr>
        <w:spacing w:before="300"/>
        <w:rPr>
          <w:rStyle w:val="Emphasis-Italics"/>
        </w:rPr>
      </w:pPr>
      <w:r w:rsidRPr="00A87699">
        <w:rPr>
          <w:rStyle w:val="Emphasis-Italics"/>
        </w:rPr>
        <w:t xml:space="preserve">[Add/delete factors as required – e.g. some boards do not have the power to make delegations; for purely advisory committees, ‘effectiveness of the </w:t>
      </w:r>
      <w:r>
        <w:rPr>
          <w:rStyle w:val="Emphasis-Italics"/>
        </w:rPr>
        <w:t>organisation</w:t>
      </w:r>
      <w:r w:rsidRPr="00A87699">
        <w:rPr>
          <w:rStyle w:val="Emphasis-Italics"/>
        </w:rPr>
        <w:t>’s risk management systems’ may not be relevant.]</w:t>
      </w:r>
    </w:p>
    <w:p w14:paraId="1F0497B5" w14:textId="3C9D684D" w:rsidR="009A0D10" w:rsidRPr="001906BB" w:rsidRDefault="009A0D10" w:rsidP="008A7366">
      <w:pPr>
        <w:pStyle w:val="Heading2"/>
      </w:pPr>
      <w:r>
        <w:br w:type="column"/>
      </w:r>
      <w:r w:rsidRPr="001906BB">
        <w:t xml:space="preserve">Appendix 2 </w:t>
      </w:r>
      <w:r w:rsidR="00DB5CAD">
        <w:t>–</w:t>
      </w:r>
      <w:r w:rsidRPr="001906BB">
        <w:t xml:space="preserve"> Criteria for assessing the performance of individual board members</w:t>
      </w:r>
    </w:p>
    <w:p w14:paraId="0E3CD02D" w14:textId="7DB72EBB" w:rsidR="009A0D10" w:rsidRPr="002735D5" w:rsidRDefault="009A0D10" w:rsidP="009A0D10">
      <w:r w:rsidRPr="002735D5">
        <w:t>Subject to any guidelines/requirements issued by the Minister</w:t>
      </w:r>
      <w:r>
        <w:t xml:space="preserve"> </w:t>
      </w:r>
      <w:r w:rsidRPr="002735D5">
        <w:t xml:space="preserve">or </w:t>
      </w:r>
      <w:r>
        <w:t>DE</w:t>
      </w:r>
      <w:r w:rsidR="00740971">
        <w:t>ECA</w:t>
      </w:r>
      <w:r w:rsidRPr="002735D5">
        <w:t>, the board’s performance assessment plan will</w:t>
      </w:r>
      <w:r>
        <w:t xml:space="preserve"> </w:t>
      </w:r>
      <w:r w:rsidRPr="002735D5">
        <w:t>be consistent with the following criteria for assessing the</w:t>
      </w:r>
      <w:r>
        <w:t xml:space="preserve"> </w:t>
      </w:r>
      <w:r w:rsidRPr="002735D5">
        <w:t>performance of individual board members:</w:t>
      </w:r>
    </w:p>
    <w:p w14:paraId="4E0B0485" w14:textId="77777777" w:rsidR="009A0D10" w:rsidRPr="002735D5" w:rsidRDefault="009A0D10" w:rsidP="009A0D10">
      <w:pPr>
        <w:pStyle w:val="ListBullet"/>
        <w:keepLines/>
        <w:tabs>
          <w:tab w:val="left" w:pos="284"/>
          <w:tab w:val="left" w:pos="567"/>
          <w:tab w:val="left" w:pos="851"/>
        </w:tabs>
        <w:spacing w:before="100" w:after="100" w:line="260" w:lineRule="atLeast"/>
        <w:ind w:left="284" w:hanging="284"/>
      </w:pPr>
      <w:r w:rsidRPr="002735D5">
        <w:t>How well the board member understands:</w:t>
      </w:r>
    </w:p>
    <w:p w14:paraId="17B948AC" w14:textId="77777777" w:rsidR="009A0D10" w:rsidRPr="001906BB" w:rsidRDefault="009A0D10" w:rsidP="009A0D10">
      <w:pPr>
        <w:pStyle w:val="ListBullet2"/>
        <w:keepLines/>
        <w:tabs>
          <w:tab w:val="left" w:pos="284"/>
          <w:tab w:val="left" w:pos="567"/>
          <w:tab w:val="left" w:pos="851"/>
          <w:tab w:val="num" w:pos="1134"/>
        </w:tabs>
        <w:spacing w:before="100" w:after="100" w:line="260" w:lineRule="atLeast"/>
        <w:ind w:left="568" w:hanging="284"/>
      </w:pPr>
      <w:r w:rsidRPr="001906BB">
        <w:t xml:space="preserve">the </w:t>
      </w:r>
      <w:r>
        <w:t>organisation</w:t>
      </w:r>
      <w:r w:rsidRPr="001906BB">
        <w:t xml:space="preserve">’s governance </w:t>
      </w:r>
      <w:proofErr w:type="gramStart"/>
      <w:r w:rsidRPr="001906BB">
        <w:t>framework;</w:t>
      </w:r>
      <w:proofErr w:type="gramEnd"/>
    </w:p>
    <w:p w14:paraId="3A25A69B" w14:textId="77777777" w:rsidR="009A0D10" w:rsidRPr="001906BB" w:rsidRDefault="009A0D10" w:rsidP="009A0D10">
      <w:pPr>
        <w:pStyle w:val="ListBullet2"/>
        <w:keepLines/>
        <w:tabs>
          <w:tab w:val="left" w:pos="284"/>
          <w:tab w:val="left" w:pos="567"/>
          <w:tab w:val="left" w:pos="851"/>
          <w:tab w:val="num" w:pos="1134"/>
        </w:tabs>
        <w:spacing w:before="100" w:after="100" w:line="260" w:lineRule="atLeast"/>
        <w:ind w:left="568" w:hanging="284"/>
      </w:pPr>
      <w:r w:rsidRPr="001906BB">
        <w:t>his/her role as a board member; and</w:t>
      </w:r>
    </w:p>
    <w:p w14:paraId="51756405" w14:textId="7788B730" w:rsidR="009A0D10" w:rsidRPr="001906BB" w:rsidRDefault="009A0D10" w:rsidP="009A0D10">
      <w:pPr>
        <w:pStyle w:val="ListBullet2"/>
        <w:keepLines/>
        <w:tabs>
          <w:tab w:val="left" w:pos="284"/>
          <w:tab w:val="left" w:pos="567"/>
          <w:tab w:val="left" w:pos="851"/>
          <w:tab w:val="num" w:pos="1134"/>
        </w:tabs>
        <w:spacing w:before="100" w:after="100" w:line="260" w:lineRule="atLeast"/>
        <w:ind w:left="568" w:hanging="284"/>
      </w:pPr>
      <w:r w:rsidRPr="001906BB">
        <w:t>the role of other key stakeholders (e.g. the Minister, DE</w:t>
      </w:r>
      <w:r w:rsidR="00740971">
        <w:t>ECA</w:t>
      </w:r>
      <w:r w:rsidRPr="001906BB">
        <w:t>, the chair, the CEO).</w:t>
      </w:r>
    </w:p>
    <w:p w14:paraId="1F8AFA3F" w14:textId="52E8A4FF" w:rsidR="009A0D10" w:rsidRPr="002735D5" w:rsidRDefault="009A0D10" w:rsidP="009A0D10">
      <w:pPr>
        <w:pStyle w:val="ListBullet"/>
        <w:keepLines/>
        <w:tabs>
          <w:tab w:val="left" w:pos="284"/>
          <w:tab w:val="left" w:pos="567"/>
          <w:tab w:val="left" w:pos="851"/>
        </w:tabs>
        <w:spacing w:before="100" w:after="100" w:line="260" w:lineRule="atLeast"/>
        <w:ind w:left="284" w:hanging="284"/>
      </w:pPr>
      <w:r w:rsidRPr="002735D5">
        <w:t xml:space="preserve">Whether the board member acts consistently with the public sector values, public sector employment principles, and related codes and standards, in particular, the </w:t>
      </w:r>
      <w:hyperlink r:id="rId30" w:history="1">
        <w:r w:rsidR="00D87D69" w:rsidRPr="00B10114">
          <w:rPr>
            <w:rStyle w:val="Hyperlink"/>
            <w:rFonts w:cs="Arial"/>
          </w:rPr>
          <w:t>Code of Conduct for Directors of Victorian Public Entities</w:t>
        </w:r>
      </w:hyperlink>
      <w:r w:rsidRPr="002735D5">
        <w:t>;</w:t>
      </w:r>
    </w:p>
    <w:p w14:paraId="31AF01FA" w14:textId="77777777" w:rsidR="009A0D10" w:rsidRPr="002735D5" w:rsidRDefault="009A0D10" w:rsidP="009A0D10">
      <w:pPr>
        <w:pStyle w:val="ListBullet"/>
        <w:keepLines/>
        <w:tabs>
          <w:tab w:val="left" w:pos="284"/>
          <w:tab w:val="left" w:pos="567"/>
          <w:tab w:val="left" w:pos="851"/>
        </w:tabs>
        <w:spacing w:before="100" w:after="100" w:line="260" w:lineRule="atLeast"/>
        <w:ind w:left="284" w:hanging="284"/>
      </w:pPr>
      <w:r w:rsidRPr="002735D5">
        <w:t>Whether the board member acts consistently with the</w:t>
      </w:r>
      <w:r>
        <w:t xml:space="preserve"> </w:t>
      </w:r>
      <w:r w:rsidRPr="002735D5">
        <w:t>boar</w:t>
      </w:r>
      <w:r>
        <w:t>d’s policies, in particular</w:t>
      </w:r>
      <w:r w:rsidRPr="002735D5">
        <w:t>:</w:t>
      </w:r>
    </w:p>
    <w:p w14:paraId="21EBAB6A" w14:textId="420EAE84" w:rsidR="009A0D10" w:rsidRPr="00A40DD1" w:rsidRDefault="009A0D10" w:rsidP="009A0D10">
      <w:pPr>
        <w:pStyle w:val="ListBullet2"/>
        <w:keepLines/>
        <w:tabs>
          <w:tab w:val="left" w:pos="284"/>
          <w:tab w:val="left" w:pos="567"/>
          <w:tab w:val="left" w:pos="851"/>
          <w:tab w:val="num" w:pos="1134"/>
        </w:tabs>
        <w:spacing w:before="100" w:after="100" w:line="260" w:lineRule="atLeast"/>
        <w:ind w:left="568" w:hanging="284"/>
      </w:pPr>
      <w:r w:rsidRPr="00A40DD1">
        <w:rPr>
          <w:rStyle w:val="Emphasis-Italics"/>
        </w:rPr>
        <w:t xml:space="preserve">Conflict of </w:t>
      </w:r>
      <w:proofErr w:type="gramStart"/>
      <w:r w:rsidR="00D87D69">
        <w:rPr>
          <w:rStyle w:val="Emphasis-Italics"/>
        </w:rPr>
        <w:t>i</w:t>
      </w:r>
      <w:r w:rsidRPr="00A40DD1">
        <w:rPr>
          <w:rStyle w:val="Emphasis-Italics"/>
        </w:rPr>
        <w:t>nterest</w:t>
      </w:r>
      <w:r w:rsidRPr="00A40DD1">
        <w:t>;</w:t>
      </w:r>
      <w:proofErr w:type="gramEnd"/>
    </w:p>
    <w:p w14:paraId="691BC1F2" w14:textId="54A33003" w:rsidR="009A0D10" w:rsidRPr="00A40DD1" w:rsidRDefault="009A0D10" w:rsidP="009A0D10">
      <w:pPr>
        <w:pStyle w:val="ListBullet2"/>
        <w:keepLines/>
        <w:tabs>
          <w:tab w:val="left" w:pos="284"/>
          <w:tab w:val="left" w:pos="567"/>
          <w:tab w:val="left" w:pos="851"/>
          <w:tab w:val="num" w:pos="1134"/>
        </w:tabs>
        <w:spacing w:before="100" w:after="100" w:line="260" w:lineRule="atLeast"/>
        <w:ind w:left="568" w:hanging="284"/>
      </w:pPr>
      <w:r w:rsidRPr="00A40DD1">
        <w:rPr>
          <w:rStyle w:val="Emphasis-Italics"/>
        </w:rPr>
        <w:t xml:space="preserve">Gifts, </w:t>
      </w:r>
      <w:r w:rsidR="00D87D69">
        <w:rPr>
          <w:rStyle w:val="Emphasis-Italics"/>
        </w:rPr>
        <w:t>b</w:t>
      </w:r>
      <w:r w:rsidRPr="00A40DD1">
        <w:rPr>
          <w:rStyle w:val="Emphasis-Italics"/>
        </w:rPr>
        <w:t xml:space="preserve">enefits, and </w:t>
      </w:r>
      <w:proofErr w:type="gramStart"/>
      <w:r w:rsidR="00D87D69">
        <w:rPr>
          <w:rStyle w:val="Emphasis-Italics"/>
        </w:rPr>
        <w:t>h</w:t>
      </w:r>
      <w:r w:rsidRPr="00A40DD1">
        <w:rPr>
          <w:rStyle w:val="Emphasis-Italics"/>
        </w:rPr>
        <w:t>ospitality</w:t>
      </w:r>
      <w:r w:rsidRPr="00A40DD1">
        <w:t>;</w:t>
      </w:r>
      <w:proofErr w:type="gramEnd"/>
    </w:p>
    <w:p w14:paraId="68EC42D8" w14:textId="1375BD28" w:rsidR="009A0D10" w:rsidRPr="00A40DD1" w:rsidRDefault="009A0D10" w:rsidP="009A0D10">
      <w:pPr>
        <w:pStyle w:val="ListBullet2"/>
        <w:keepLines/>
        <w:tabs>
          <w:tab w:val="left" w:pos="284"/>
          <w:tab w:val="left" w:pos="567"/>
          <w:tab w:val="left" w:pos="851"/>
          <w:tab w:val="num" w:pos="1134"/>
        </w:tabs>
        <w:spacing w:before="100" w:after="100" w:line="260" w:lineRule="atLeast"/>
        <w:ind w:left="568" w:hanging="284"/>
      </w:pPr>
      <w:r w:rsidRPr="00A40DD1">
        <w:rPr>
          <w:rStyle w:val="Emphasis-Italics"/>
        </w:rPr>
        <w:t xml:space="preserve">Code of </w:t>
      </w:r>
      <w:proofErr w:type="gramStart"/>
      <w:r w:rsidR="00D87D69">
        <w:rPr>
          <w:rStyle w:val="Emphasis-Italics"/>
        </w:rPr>
        <w:t>c</w:t>
      </w:r>
      <w:r w:rsidRPr="00A40DD1">
        <w:rPr>
          <w:rStyle w:val="Emphasis-Italics"/>
        </w:rPr>
        <w:t>onduct</w:t>
      </w:r>
      <w:r w:rsidRPr="00A40DD1">
        <w:t>;</w:t>
      </w:r>
      <w:proofErr w:type="gramEnd"/>
    </w:p>
    <w:p w14:paraId="4ACD41D1" w14:textId="7026D769" w:rsidR="009A0D10" w:rsidRPr="00A40DD1" w:rsidRDefault="00D87D69" w:rsidP="009A0D10">
      <w:pPr>
        <w:pStyle w:val="ListBullet2"/>
        <w:keepLines/>
        <w:tabs>
          <w:tab w:val="left" w:pos="284"/>
          <w:tab w:val="left" w:pos="567"/>
          <w:tab w:val="left" w:pos="851"/>
          <w:tab w:val="num" w:pos="1134"/>
        </w:tabs>
        <w:spacing w:before="100" w:after="100" w:line="260" w:lineRule="atLeast"/>
        <w:ind w:left="568" w:hanging="284"/>
      </w:pPr>
      <w:r>
        <w:rPr>
          <w:rStyle w:val="Emphasis-Italics"/>
        </w:rPr>
        <w:t>Board meetings and decisions</w:t>
      </w:r>
      <w:r w:rsidR="009A0D10" w:rsidRPr="00A40DD1">
        <w:t>, including whether the board member:</w:t>
      </w:r>
    </w:p>
    <w:p w14:paraId="3F62D79A" w14:textId="77777777" w:rsidR="009A0D10" w:rsidRPr="00A40DD1" w:rsidRDefault="009A0D10" w:rsidP="009A0D10">
      <w:pPr>
        <w:pStyle w:val="ListBullet3"/>
        <w:keepLines/>
        <w:numPr>
          <w:ilvl w:val="0"/>
          <w:numId w:val="8"/>
        </w:numPr>
        <w:tabs>
          <w:tab w:val="left" w:pos="284"/>
          <w:tab w:val="left" w:pos="567"/>
          <w:tab w:val="left" w:pos="851"/>
          <w:tab w:val="left" w:pos="1134"/>
        </w:tabs>
        <w:spacing w:before="100" w:after="100" w:line="260" w:lineRule="atLeast"/>
        <w:ind w:left="927" w:hanging="360"/>
      </w:pPr>
      <w:r w:rsidRPr="00A40DD1">
        <w:t>prepares for board meetings (pre-reading of papers etc.</w:t>
      </w:r>
      <w:proofErr w:type="gramStart"/>
      <w:r w:rsidRPr="00A40DD1">
        <w:t>);</w:t>
      </w:r>
      <w:proofErr w:type="gramEnd"/>
    </w:p>
    <w:p w14:paraId="4DF5FF45" w14:textId="77777777" w:rsidR="009A0D10" w:rsidRPr="00A40DD1" w:rsidRDefault="009A0D10" w:rsidP="009A0D10">
      <w:pPr>
        <w:pStyle w:val="ListBullet3"/>
        <w:keepLines/>
        <w:numPr>
          <w:ilvl w:val="0"/>
          <w:numId w:val="8"/>
        </w:numPr>
        <w:tabs>
          <w:tab w:val="left" w:pos="284"/>
          <w:tab w:val="left" w:pos="567"/>
          <w:tab w:val="left" w:pos="851"/>
          <w:tab w:val="left" w:pos="1134"/>
        </w:tabs>
        <w:spacing w:before="100" w:after="100" w:line="260" w:lineRule="atLeast"/>
        <w:ind w:left="927" w:hanging="360"/>
      </w:pPr>
      <w:r w:rsidRPr="00A40DD1">
        <w:t xml:space="preserve">makes regular and significant contributions to board </w:t>
      </w:r>
      <w:proofErr w:type="gramStart"/>
      <w:r w:rsidRPr="00A40DD1">
        <w:t>discussions;</w:t>
      </w:r>
      <w:proofErr w:type="gramEnd"/>
    </w:p>
    <w:p w14:paraId="714EC91D" w14:textId="77777777" w:rsidR="009A0D10" w:rsidRPr="00A40DD1" w:rsidRDefault="009A0D10" w:rsidP="009A0D10">
      <w:pPr>
        <w:pStyle w:val="ListBullet3"/>
        <w:keepLines/>
        <w:numPr>
          <w:ilvl w:val="0"/>
          <w:numId w:val="8"/>
        </w:numPr>
        <w:tabs>
          <w:tab w:val="left" w:pos="284"/>
          <w:tab w:val="left" w:pos="567"/>
          <w:tab w:val="left" w:pos="851"/>
          <w:tab w:val="left" w:pos="1134"/>
        </w:tabs>
        <w:spacing w:before="100" w:after="100" w:line="260" w:lineRule="atLeast"/>
        <w:ind w:left="927" w:hanging="360"/>
      </w:pPr>
      <w:r w:rsidRPr="00A40DD1">
        <w:t xml:space="preserve">treats other board members with respect and </w:t>
      </w:r>
      <w:proofErr w:type="gramStart"/>
      <w:r w:rsidRPr="00A40DD1">
        <w:t>courtesy;</w:t>
      </w:r>
      <w:proofErr w:type="gramEnd"/>
    </w:p>
    <w:p w14:paraId="76864F93" w14:textId="77777777" w:rsidR="009A0D10" w:rsidRPr="00A40DD1" w:rsidRDefault="009A0D10" w:rsidP="009A0D10">
      <w:pPr>
        <w:pStyle w:val="ListBullet3"/>
        <w:keepLines/>
        <w:numPr>
          <w:ilvl w:val="0"/>
          <w:numId w:val="8"/>
        </w:numPr>
        <w:tabs>
          <w:tab w:val="left" w:pos="284"/>
          <w:tab w:val="left" w:pos="567"/>
          <w:tab w:val="left" w:pos="851"/>
          <w:tab w:val="left" w:pos="1134"/>
        </w:tabs>
        <w:spacing w:before="100" w:after="100" w:line="260" w:lineRule="atLeast"/>
        <w:ind w:left="927" w:hanging="360"/>
      </w:pPr>
      <w:r w:rsidRPr="00A40DD1">
        <w:t>supports the balanced exchange of ideas and views between board members; and</w:t>
      </w:r>
    </w:p>
    <w:p w14:paraId="19A7A5ED" w14:textId="77777777" w:rsidR="009A0D10" w:rsidRPr="00A40DD1" w:rsidRDefault="009A0D10" w:rsidP="009A0D10">
      <w:pPr>
        <w:pStyle w:val="ListBullet3"/>
        <w:keepLines/>
        <w:numPr>
          <w:ilvl w:val="0"/>
          <w:numId w:val="8"/>
        </w:numPr>
        <w:tabs>
          <w:tab w:val="left" w:pos="284"/>
          <w:tab w:val="left" w:pos="567"/>
          <w:tab w:val="left" w:pos="851"/>
          <w:tab w:val="left" w:pos="1134"/>
        </w:tabs>
        <w:spacing w:before="100" w:after="100" w:line="260" w:lineRule="atLeast"/>
        <w:ind w:left="927" w:hanging="360"/>
      </w:pPr>
      <w:r w:rsidRPr="00A40DD1">
        <w:t xml:space="preserve">participates actively and constructively in </w:t>
      </w:r>
      <w:proofErr w:type="gramStart"/>
      <w:r w:rsidRPr="00A40DD1">
        <w:t>all of</w:t>
      </w:r>
      <w:proofErr w:type="gramEnd"/>
      <w:r w:rsidRPr="00A40DD1">
        <w:t xml:space="preserve"> the board’s decision-making.</w:t>
      </w:r>
    </w:p>
    <w:p w14:paraId="4F9541C0" w14:textId="1D22CCDC" w:rsidR="009A0D10" w:rsidRPr="002735D5" w:rsidRDefault="009A0D10" w:rsidP="009A0D10">
      <w:pPr>
        <w:pStyle w:val="ListBullet2"/>
        <w:keepLines/>
        <w:tabs>
          <w:tab w:val="left" w:pos="284"/>
          <w:tab w:val="left" w:pos="567"/>
          <w:tab w:val="left" w:pos="851"/>
          <w:tab w:val="num" w:pos="1134"/>
        </w:tabs>
        <w:spacing w:before="100" w:after="100" w:line="260" w:lineRule="atLeast"/>
        <w:ind w:left="568" w:hanging="284"/>
      </w:pPr>
      <w:r>
        <w:t>O</w:t>
      </w:r>
      <w:r w:rsidRPr="002735D5">
        <w:t xml:space="preserve">ther key topics (e.g. </w:t>
      </w:r>
      <w:r w:rsidR="00A85F46">
        <w:rPr>
          <w:rStyle w:val="Emphasis-Italics"/>
        </w:rPr>
        <w:t>Privacy</w:t>
      </w:r>
      <w:r>
        <w:rPr>
          <w:i/>
        </w:rPr>
        <w:t>).</w:t>
      </w:r>
    </w:p>
    <w:p w14:paraId="2C08359F" w14:textId="77777777" w:rsidR="009A0D10" w:rsidRPr="00DA2E33" w:rsidRDefault="009A0D10" w:rsidP="009A0D10">
      <w:pPr>
        <w:pStyle w:val="ListBullet"/>
        <w:keepLines/>
        <w:tabs>
          <w:tab w:val="left" w:pos="284"/>
          <w:tab w:val="left" w:pos="567"/>
          <w:tab w:val="left" w:pos="851"/>
        </w:tabs>
        <w:spacing w:before="100" w:after="100" w:line="260" w:lineRule="atLeast"/>
        <w:ind w:left="284" w:hanging="284"/>
      </w:pPr>
      <w:r w:rsidRPr="00DA2E33">
        <w:t>Whether the board member attends at least 75% of board meetings.</w:t>
      </w:r>
      <w:r w:rsidRPr="008A78D3">
        <w:rPr>
          <w:rStyle w:val="FootnoteReference"/>
        </w:rPr>
        <w:footnoteReference w:id="6"/>
      </w:r>
    </w:p>
    <w:p w14:paraId="51FDEA8E" w14:textId="77777777" w:rsidR="009A0D10" w:rsidRPr="00DA2E33" w:rsidRDefault="009A0D10" w:rsidP="009A0D10">
      <w:pPr>
        <w:pStyle w:val="ListBullet"/>
        <w:keepLines/>
        <w:tabs>
          <w:tab w:val="left" w:pos="284"/>
          <w:tab w:val="left" w:pos="567"/>
          <w:tab w:val="left" w:pos="851"/>
        </w:tabs>
        <w:spacing w:before="100" w:after="100" w:line="260" w:lineRule="atLeast"/>
        <w:ind w:left="284" w:hanging="284"/>
      </w:pPr>
      <w:r w:rsidRPr="00DA2E33">
        <w:t>The extent to which the board member makes additional contributions to the board’s activities (e.g. convenes or is member of a subcommittee; contributes to subcommittee reports/papers).</w:t>
      </w:r>
    </w:p>
    <w:p w14:paraId="151C229B" w14:textId="77777777" w:rsidR="009A0D10" w:rsidRPr="00A87699" w:rsidRDefault="009A0D10" w:rsidP="009A0D10">
      <w:pPr>
        <w:spacing w:before="300"/>
        <w:rPr>
          <w:rStyle w:val="Emphasis-Italics"/>
        </w:rPr>
      </w:pPr>
      <w:r w:rsidRPr="00A87699">
        <w:rPr>
          <w:rStyle w:val="Emphasis-Italics"/>
        </w:rPr>
        <w:t>[Add other relevant factors as required].</w:t>
      </w:r>
    </w:p>
    <w:p w14:paraId="73683FB0" w14:textId="5B19D52F" w:rsidR="009A0D10" w:rsidRPr="00B41003" w:rsidRDefault="009A0D10" w:rsidP="008A7366">
      <w:pPr>
        <w:pStyle w:val="Heading2"/>
      </w:pPr>
      <w:r>
        <w:br w:type="column"/>
      </w:r>
      <w:r w:rsidRPr="00B41003">
        <w:t xml:space="preserve">Appendix 3 </w:t>
      </w:r>
      <w:r w:rsidR="00DB5CAD">
        <w:t>–</w:t>
      </w:r>
      <w:r w:rsidRPr="00B41003">
        <w:t xml:space="preserve"> Criteria for assessing the performance of the chair’s additional duties</w:t>
      </w:r>
    </w:p>
    <w:p w14:paraId="016049AA" w14:textId="09144DEF" w:rsidR="009A0D10" w:rsidRPr="00D2692E" w:rsidRDefault="009A0D10" w:rsidP="009A0D10">
      <w:r w:rsidRPr="00D2692E">
        <w:t>Subject to any guidelines/requirements issued by the Minister</w:t>
      </w:r>
      <w:r>
        <w:t xml:space="preserve"> </w:t>
      </w:r>
      <w:r w:rsidRPr="00D2692E">
        <w:t xml:space="preserve">or </w:t>
      </w:r>
      <w:r>
        <w:t>DE</w:t>
      </w:r>
      <w:r w:rsidR="00740971">
        <w:t>ECA</w:t>
      </w:r>
      <w:r w:rsidRPr="00D2692E">
        <w:t>, the board’s performance assessment plan will be</w:t>
      </w:r>
      <w:r>
        <w:t xml:space="preserve"> </w:t>
      </w:r>
      <w:r w:rsidRPr="00D2692E">
        <w:t>consistent with the following criteria for assessing the chair’s</w:t>
      </w:r>
      <w:r>
        <w:t xml:space="preserve"> </w:t>
      </w:r>
      <w:r w:rsidRPr="00D2692E">
        <w:t>performance of his or her additional duties as chair:</w:t>
      </w:r>
    </w:p>
    <w:p w14:paraId="65F6A2A5" w14:textId="6AFE85D7" w:rsidR="009A0D10" w:rsidRPr="001773A0" w:rsidRDefault="009A0D10" w:rsidP="009A0D10">
      <w:pPr>
        <w:pStyle w:val="ListBullet"/>
        <w:keepLines/>
        <w:tabs>
          <w:tab w:val="left" w:pos="284"/>
          <w:tab w:val="left" w:pos="567"/>
          <w:tab w:val="left" w:pos="851"/>
        </w:tabs>
        <w:spacing w:before="100" w:after="100" w:line="260" w:lineRule="atLeast"/>
        <w:ind w:left="284" w:hanging="284"/>
      </w:pPr>
      <w:r w:rsidRPr="00D2692E">
        <w:t>How well the chair is discharging his/her additional duties as</w:t>
      </w:r>
      <w:r>
        <w:t xml:space="preserve"> </w:t>
      </w:r>
      <w:r w:rsidRPr="00D2692E">
        <w:t xml:space="preserve">chair in accordance with the board’s </w:t>
      </w:r>
      <w:r w:rsidR="00716F47">
        <w:rPr>
          <w:rStyle w:val="Emphasis-Italics"/>
        </w:rPr>
        <w:t>Board meetings and decisions</w:t>
      </w:r>
      <w:r w:rsidRPr="00A87699">
        <w:rPr>
          <w:rStyle w:val="Emphasis-Italics"/>
        </w:rPr>
        <w:t xml:space="preserve"> </w:t>
      </w:r>
      <w:r w:rsidRPr="00A87699">
        <w:t>policy</w:t>
      </w:r>
      <w:r w:rsidRPr="001773A0">
        <w:t>, for example:</w:t>
      </w:r>
    </w:p>
    <w:p w14:paraId="41CA945F" w14:textId="77777777" w:rsidR="009A0D10" w:rsidRPr="00FD1A96" w:rsidRDefault="009A0D10" w:rsidP="009A0D10">
      <w:pPr>
        <w:pStyle w:val="ListBullet2"/>
        <w:keepLines/>
        <w:tabs>
          <w:tab w:val="left" w:pos="284"/>
          <w:tab w:val="left" w:pos="567"/>
          <w:tab w:val="left" w:pos="851"/>
          <w:tab w:val="num" w:pos="1134"/>
        </w:tabs>
        <w:spacing w:before="100" w:after="100" w:line="260" w:lineRule="atLeast"/>
        <w:ind w:left="568" w:hanging="284"/>
      </w:pPr>
      <w:r w:rsidRPr="00FD1A96">
        <w:t xml:space="preserve">the extent to which the chair demonstrates effective leadership of the </w:t>
      </w:r>
      <w:proofErr w:type="gramStart"/>
      <w:r w:rsidRPr="00FD1A96">
        <w:t>board;</w:t>
      </w:r>
      <w:proofErr w:type="gramEnd"/>
    </w:p>
    <w:p w14:paraId="13AACC31" w14:textId="77777777" w:rsidR="009A0D10" w:rsidRPr="00FD1A96" w:rsidRDefault="009A0D10" w:rsidP="009A0D10">
      <w:pPr>
        <w:pStyle w:val="ListBullet2"/>
        <w:keepLines/>
        <w:tabs>
          <w:tab w:val="left" w:pos="284"/>
          <w:tab w:val="left" w:pos="567"/>
          <w:tab w:val="left" w:pos="851"/>
          <w:tab w:val="num" w:pos="1134"/>
        </w:tabs>
        <w:spacing w:before="100" w:after="100" w:line="260" w:lineRule="atLeast"/>
        <w:ind w:left="568" w:hanging="284"/>
      </w:pPr>
      <w:r w:rsidRPr="00FD1A96">
        <w:t xml:space="preserve">the appropriate scheduling of agenda </w:t>
      </w:r>
      <w:proofErr w:type="gramStart"/>
      <w:r w:rsidRPr="00FD1A96">
        <w:t>items;</w:t>
      </w:r>
      <w:proofErr w:type="gramEnd"/>
    </w:p>
    <w:p w14:paraId="1A6838D0" w14:textId="77777777" w:rsidR="009A0D10" w:rsidRPr="00FD1A96" w:rsidRDefault="009A0D10" w:rsidP="009A0D10">
      <w:pPr>
        <w:pStyle w:val="ListBullet2"/>
        <w:keepLines/>
        <w:tabs>
          <w:tab w:val="left" w:pos="284"/>
          <w:tab w:val="left" w:pos="567"/>
          <w:tab w:val="left" w:pos="851"/>
          <w:tab w:val="num" w:pos="1134"/>
        </w:tabs>
        <w:spacing w:before="100" w:after="100" w:line="260" w:lineRule="atLeast"/>
        <w:ind w:left="568" w:hanging="284"/>
      </w:pPr>
      <w:r w:rsidRPr="00FD1A96">
        <w:t xml:space="preserve">whether board members treat one another with respect and courtesy and participate actively and constructively in each board </w:t>
      </w:r>
      <w:proofErr w:type="gramStart"/>
      <w:r w:rsidRPr="00FD1A96">
        <w:t>decision;</w:t>
      </w:r>
      <w:proofErr w:type="gramEnd"/>
    </w:p>
    <w:p w14:paraId="2B584234" w14:textId="77777777" w:rsidR="009A0D10" w:rsidRPr="00FD1A96" w:rsidRDefault="009A0D10" w:rsidP="009A0D10">
      <w:pPr>
        <w:pStyle w:val="ListBullet2"/>
        <w:keepLines/>
        <w:tabs>
          <w:tab w:val="left" w:pos="284"/>
          <w:tab w:val="left" w:pos="567"/>
          <w:tab w:val="left" w:pos="851"/>
          <w:tab w:val="num" w:pos="1134"/>
        </w:tabs>
        <w:spacing w:before="100" w:after="100" w:line="260" w:lineRule="atLeast"/>
        <w:ind w:left="568" w:hanging="284"/>
      </w:pPr>
      <w:r w:rsidRPr="00FD1A96">
        <w:t>the efficient and effective flow of board meetings; and</w:t>
      </w:r>
    </w:p>
    <w:p w14:paraId="73F09908" w14:textId="77777777" w:rsidR="009A0D10" w:rsidRPr="00FD1A96" w:rsidRDefault="009A0D10" w:rsidP="009A0D10">
      <w:pPr>
        <w:pStyle w:val="ListBullet2"/>
        <w:keepLines/>
        <w:tabs>
          <w:tab w:val="left" w:pos="284"/>
          <w:tab w:val="left" w:pos="567"/>
          <w:tab w:val="left" w:pos="851"/>
          <w:tab w:val="num" w:pos="1134"/>
        </w:tabs>
        <w:spacing w:before="100" w:after="100" w:line="260" w:lineRule="atLeast"/>
        <w:ind w:left="568" w:hanging="284"/>
      </w:pPr>
      <w:r w:rsidRPr="00FD1A96">
        <w:t>whether board members have ready access to board policies.</w:t>
      </w:r>
    </w:p>
    <w:p w14:paraId="702BC76E" w14:textId="416175E7" w:rsidR="009A0D10" w:rsidRPr="00D2692E" w:rsidRDefault="009A0D10" w:rsidP="009A0D10">
      <w:pPr>
        <w:pStyle w:val="ListBullet"/>
        <w:keepLines/>
        <w:tabs>
          <w:tab w:val="left" w:pos="284"/>
          <w:tab w:val="left" w:pos="567"/>
          <w:tab w:val="left" w:pos="851"/>
        </w:tabs>
        <w:spacing w:before="100" w:after="100" w:line="260" w:lineRule="atLeast"/>
        <w:ind w:left="284" w:hanging="284"/>
      </w:pPr>
      <w:r w:rsidRPr="00D2692E">
        <w:t>The disclosure by board members, at the start of board</w:t>
      </w:r>
      <w:r>
        <w:t xml:space="preserve"> </w:t>
      </w:r>
      <w:r w:rsidRPr="00D2692E">
        <w:t>meetings, of any conflicts of interest in relation to items on</w:t>
      </w:r>
      <w:r>
        <w:t xml:space="preserve"> </w:t>
      </w:r>
      <w:r w:rsidRPr="00D2692E">
        <w:t>the agenda, and the management of conflicts of interest in</w:t>
      </w:r>
      <w:r>
        <w:t xml:space="preserve"> </w:t>
      </w:r>
      <w:r w:rsidRPr="00D2692E">
        <w:t xml:space="preserve">accordance with the board’s </w:t>
      </w:r>
      <w:r w:rsidRPr="00A87699">
        <w:rPr>
          <w:rStyle w:val="Emphasis-Italics"/>
        </w:rPr>
        <w:t xml:space="preserve">Conflict of </w:t>
      </w:r>
      <w:r w:rsidR="00BE3A37">
        <w:rPr>
          <w:rStyle w:val="Emphasis-Italics"/>
        </w:rPr>
        <w:t>i</w:t>
      </w:r>
      <w:r w:rsidRPr="00A87699">
        <w:rPr>
          <w:rStyle w:val="Emphasis-Italics"/>
        </w:rPr>
        <w:t>nterest</w:t>
      </w:r>
      <w:r w:rsidRPr="00D2692E">
        <w:t xml:space="preserve"> policy.</w:t>
      </w:r>
    </w:p>
    <w:p w14:paraId="5A8ECD28" w14:textId="52F4EEDE" w:rsidR="009A0D10" w:rsidRPr="00D2692E" w:rsidRDefault="009A0D10" w:rsidP="009A0D10">
      <w:pPr>
        <w:pStyle w:val="ListBullet"/>
        <w:keepLines/>
        <w:tabs>
          <w:tab w:val="left" w:pos="284"/>
          <w:tab w:val="left" w:pos="567"/>
          <w:tab w:val="left" w:pos="851"/>
        </w:tabs>
        <w:spacing w:before="100" w:after="100" w:line="260" w:lineRule="atLeast"/>
        <w:ind w:left="284" w:hanging="284"/>
      </w:pPr>
      <w:r w:rsidRPr="00D2692E">
        <w:t>The chair’s contribution to the resolution of disputes between</w:t>
      </w:r>
      <w:r>
        <w:t xml:space="preserve"> </w:t>
      </w:r>
      <w:r w:rsidRPr="00D2692E">
        <w:t xml:space="preserve">board members, in accordance with the board’s </w:t>
      </w:r>
      <w:r w:rsidRPr="00A87699">
        <w:rPr>
          <w:rStyle w:val="Emphasis-Italics"/>
        </w:rPr>
        <w:t xml:space="preserve">Dispute </w:t>
      </w:r>
      <w:r w:rsidR="00BE3A37">
        <w:rPr>
          <w:rStyle w:val="Emphasis-Italics"/>
        </w:rPr>
        <w:t>r</w:t>
      </w:r>
      <w:r w:rsidRPr="00A87699">
        <w:rPr>
          <w:rStyle w:val="Emphasis-Italics"/>
        </w:rPr>
        <w:t>esolution</w:t>
      </w:r>
      <w:r w:rsidRPr="00D2692E">
        <w:t xml:space="preserve"> policy.</w:t>
      </w:r>
    </w:p>
    <w:p w14:paraId="33615DA9" w14:textId="77777777" w:rsidR="009A0D10" w:rsidRPr="00D2692E" w:rsidRDefault="009A0D10" w:rsidP="009A0D10">
      <w:pPr>
        <w:pStyle w:val="ListBullet"/>
        <w:keepLines/>
        <w:tabs>
          <w:tab w:val="left" w:pos="284"/>
          <w:tab w:val="left" w:pos="567"/>
          <w:tab w:val="left" w:pos="851"/>
        </w:tabs>
        <w:spacing w:before="100" w:after="100" w:line="260" w:lineRule="atLeast"/>
        <w:ind w:left="284" w:hanging="284"/>
      </w:pPr>
      <w:r w:rsidRPr="00D2692E">
        <w:t>Measures taken to ensure that board members understand</w:t>
      </w:r>
      <w:r>
        <w:t xml:space="preserve"> </w:t>
      </w:r>
      <w:r w:rsidRPr="00D2692E">
        <w:t>their role and accountabilities, for example:</w:t>
      </w:r>
    </w:p>
    <w:p w14:paraId="3952E5FA" w14:textId="77777777" w:rsidR="009A0D10" w:rsidRPr="00FD1A96" w:rsidRDefault="009A0D10" w:rsidP="009A0D10">
      <w:pPr>
        <w:pStyle w:val="ListBullet2"/>
        <w:keepLines/>
        <w:tabs>
          <w:tab w:val="left" w:pos="284"/>
          <w:tab w:val="left" w:pos="567"/>
          <w:tab w:val="left" w:pos="851"/>
          <w:tab w:val="num" w:pos="1134"/>
        </w:tabs>
        <w:spacing w:before="100" w:after="100" w:line="260" w:lineRule="atLeast"/>
        <w:ind w:left="568" w:hanging="284"/>
      </w:pPr>
      <w:r w:rsidRPr="00FD1A96">
        <w:t xml:space="preserve">suitable induction for new board </w:t>
      </w:r>
      <w:proofErr w:type="gramStart"/>
      <w:r w:rsidRPr="00FD1A96">
        <w:t>members;</w:t>
      </w:r>
      <w:proofErr w:type="gramEnd"/>
    </w:p>
    <w:p w14:paraId="3C4D6988" w14:textId="77777777" w:rsidR="009A0D10" w:rsidRPr="00FD1A96" w:rsidRDefault="009A0D10" w:rsidP="009A0D10">
      <w:pPr>
        <w:pStyle w:val="ListBullet2"/>
        <w:keepLines/>
        <w:tabs>
          <w:tab w:val="left" w:pos="284"/>
          <w:tab w:val="left" w:pos="567"/>
          <w:tab w:val="left" w:pos="851"/>
          <w:tab w:val="num" w:pos="1134"/>
        </w:tabs>
        <w:spacing w:before="100" w:after="100" w:line="260" w:lineRule="atLeast"/>
        <w:ind w:left="568" w:hanging="284"/>
      </w:pPr>
      <w:r w:rsidRPr="00FD1A96">
        <w:t>opportunities for existing board members to further develop relevant knowledge and skills.</w:t>
      </w:r>
    </w:p>
    <w:p w14:paraId="00D66BB7" w14:textId="77777777" w:rsidR="009A0D10" w:rsidRPr="00D2692E" w:rsidRDefault="009A0D10" w:rsidP="009A0D10">
      <w:pPr>
        <w:pStyle w:val="ListBullet"/>
        <w:keepLines/>
        <w:tabs>
          <w:tab w:val="left" w:pos="284"/>
          <w:tab w:val="left" w:pos="567"/>
          <w:tab w:val="left" w:pos="851"/>
        </w:tabs>
        <w:spacing w:before="100" w:after="100" w:line="260" w:lineRule="atLeast"/>
        <w:ind w:left="284" w:hanging="284"/>
      </w:pPr>
      <w:r w:rsidRPr="00D2692E">
        <w:t>How well the chair acts as a spokesperson and key</w:t>
      </w:r>
      <w:r>
        <w:t xml:space="preserve"> </w:t>
      </w:r>
      <w:r w:rsidRPr="00D2692E">
        <w:t xml:space="preserve">relationship-builder for the </w:t>
      </w:r>
      <w:r>
        <w:t>organisation</w:t>
      </w:r>
      <w:r w:rsidRPr="00D2692E">
        <w:t>.</w:t>
      </w:r>
    </w:p>
    <w:p w14:paraId="3CEEEEC6" w14:textId="77777777" w:rsidR="009A0D10" w:rsidRPr="00D2692E" w:rsidRDefault="009A0D10" w:rsidP="009A0D10">
      <w:pPr>
        <w:pStyle w:val="ListBullet"/>
        <w:keepLines/>
        <w:tabs>
          <w:tab w:val="left" w:pos="284"/>
          <w:tab w:val="left" w:pos="567"/>
          <w:tab w:val="left" w:pos="851"/>
        </w:tabs>
        <w:spacing w:before="100" w:after="100" w:line="260" w:lineRule="atLeast"/>
        <w:ind w:left="284" w:hanging="284"/>
      </w:pPr>
      <w:r w:rsidRPr="00D2692E">
        <w:t>The completion of performance assessment in accordance</w:t>
      </w:r>
      <w:r>
        <w:t xml:space="preserve"> </w:t>
      </w:r>
      <w:r w:rsidRPr="00D2692E">
        <w:t>with this policy.</w:t>
      </w:r>
    </w:p>
    <w:p w14:paraId="5352B7B6" w14:textId="677B530B" w:rsidR="00E75972" w:rsidRDefault="009A0D10" w:rsidP="006102AA">
      <w:pPr>
        <w:spacing w:before="300"/>
        <w:rPr>
          <w:rStyle w:val="Emphasis-Italics"/>
        </w:rPr>
      </w:pPr>
      <w:r w:rsidRPr="00A87699">
        <w:rPr>
          <w:rStyle w:val="Emphasis-Italics"/>
        </w:rPr>
        <w:t>[Add other factors as required].</w:t>
      </w:r>
    </w:p>
    <w:p w14:paraId="654FFC01" w14:textId="5FBFF7B1" w:rsidR="00B64294" w:rsidRDefault="001C59FE" w:rsidP="008A7366">
      <w:pPr>
        <w:rPr>
          <w:i/>
        </w:rPr>
      </w:pPr>
      <w:r>
        <w:rPr>
          <w:i/>
        </w:rPr>
        <w:br w:type="page"/>
      </w:r>
    </w:p>
    <w:p w14:paraId="36086839" w14:textId="50BCE52B" w:rsidR="00517ACF" w:rsidRDefault="00517ACF" w:rsidP="008A7366">
      <w:pPr>
        <w:rPr>
          <w:i/>
        </w:rPr>
      </w:pPr>
    </w:p>
    <w:p w14:paraId="0DBE5C90" w14:textId="77777777" w:rsidR="00517ACF" w:rsidRDefault="00517ACF" w:rsidP="008A7366">
      <w:pPr>
        <w:rPr>
          <w:i/>
        </w:rPr>
      </w:pPr>
    </w:p>
    <w:p w14:paraId="61595D87" w14:textId="77777777" w:rsidR="00517ACF" w:rsidRDefault="00517ACF" w:rsidP="008A7366">
      <w:pPr>
        <w:rPr>
          <w:i/>
        </w:rPr>
      </w:pPr>
    </w:p>
    <w:p w14:paraId="7359C9E7" w14:textId="77777777" w:rsidR="00517ACF" w:rsidRDefault="00517ACF" w:rsidP="008A7366">
      <w:pPr>
        <w:rPr>
          <w:i/>
        </w:rPr>
      </w:pPr>
    </w:p>
    <w:p w14:paraId="50738D63" w14:textId="77777777" w:rsidR="00517ACF" w:rsidRDefault="00517ACF" w:rsidP="008A7366">
      <w:pPr>
        <w:rPr>
          <w:i/>
        </w:rPr>
      </w:pPr>
    </w:p>
    <w:p w14:paraId="5A4BFEE1" w14:textId="77777777" w:rsidR="00517ACF" w:rsidRDefault="00517ACF" w:rsidP="008A7366">
      <w:pPr>
        <w:rPr>
          <w:i/>
        </w:rPr>
      </w:pPr>
    </w:p>
    <w:p w14:paraId="71AC9859" w14:textId="77777777" w:rsidR="00517ACF" w:rsidRDefault="00517ACF" w:rsidP="008A7366">
      <w:pPr>
        <w:rPr>
          <w:i/>
        </w:rPr>
      </w:pPr>
    </w:p>
    <w:p w14:paraId="6C55926C" w14:textId="77777777" w:rsidR="00517ACF" w:rsidRDefault="00517ACF" w:rsidP="008A7366">
      <w:pPr>
        <w:rPr>
          <w:i/>
        </w:rPr>
      </w:pPr>
    </w:p>
    <w:p w14:paraId="79A62909" w14:textId="77777777" w:rsidR="00517ACF" w:rsidRDefault="00517ACF" w:rsidP="008A7366">
      <w:pPr>
        <w:rPr>
          <w:i/>
        </w:rPr>
      </w:pPr>
    </w:p>
    <w:p w14:paraId="26F592A2" w14:textId="77777777" w:rsidR="00517ACF" w:rsidRDefault="00517ACF" w:rsidP="008A7366">
      <w:pPr>
        <w:rPr>
          <w:i/>
        </w:rPr>
      </w:pPr>
    </w:p>
    <w:p w14:paraId="2E0451C9" w14:textId="77777777" w:rsidR="00517ACF" w:rsidRDefault="00517ACF" w:rsidP="008A7366">
      <w:pPr>
        <w:rPr>
          <w:i/>
        </w:rPr>
      </w:pPr>
    </w:p>
    <w:p w14:paraId="55CF9CD5" w14:textId="77777777" w:rsidR="00517ACF" w:rsidRDefault="00517ACF" w:rsidP="008A7366">
      <w:pPr>
        <w:rPr>
          <w:i/>
        </w:rPr>
      </w:pPr>
    </w:p>
    <w:p w14:paraId="5D49B85C" w14:textId="77777777" w:rsidR="00517ACF" w:rsidRDefault="00517ACF" w:rsidP="008A7366">
      <w:pPr>
        <w:rPr>
          <w:i/>
        </w:rPr>
      </w:pPr>
    </w:p>
    <w:p w14:paraId="2E337C33" w14:textId="77777777" w:rsidR="00517ACF" w:rsidRDefault="00517ACF" w:rsidP="008A7366">
      <w:pPr>
        <w:rPr>
          <w:i/>
        </w:rPr>
      </w:pPr>
    </w:p>
    <w:p w14:paraId="21CAC936" w14:textId="77777777" w:rsidR="00517ACF" w:rsidRDefault="00517ACF" w:rsidP="008A7366">
      <w:pPr>
        <w:rPr>
          <w:i/>
        </w:rPr>
      </w:pPr>
    </w:p>
    <w:p w14:paraId="3C8990B7" w14:textId="77777777" w:rsidR="00517ACF" w:rsidRDefault="00517ACF" w:rsidP="008A7366">
      <w:pPr>
        <w:rPr>
          <w:i/>
        </w:rPr>
      </w:pPr>
    </w:p>
    <w:p w14:paraId="44604496" w14:textId="77777777" w:rsidR="00517ACF" w:rsidRDefault="00517ACF" w:rsidP="008A7366">
      <w:pPr>
        <w:rPr>
          <w:i/>
        </w:rPr>
      </w:pPr>
    </w:p>
    <w:p w14:paraId="79285A78" w14:textId="77777777" w:rsidR="00517ACF" w:rsidRDefault="00517ACF" w:rsidP="008A7366">
      <w:pPr>
        <w:rPr>
          <w:i/>
        </w:rPr>
      </w:pPr>
    </w:p>
    <w:p w14:paraId="532BDB79" w14:textId="77777777" w:rsidR="00517ACF" w:rsidRDefault="00517ACF" w:rsidP="008A7366">
      <w:pPr>
        <w:rPr>
          <w:i/>
        </w:rPr>
      </w:pPr>
    </w:p>
    <w:p w14:paraId="225B11CF" w14:textId="77777777" w:rsidR="00517ACF" w:rsidRDefault="00517ACF" w:rsidP="008A7366">
      <w:pPr>
        <w:rPr>
          <w:i/>
        </w:rPr>
      </w:pPr>
    </w:p>
    <w:p w14:paraId="151773EC" w14:textId="77777777" w:rsidR="00517ACF" w:rsidRDefault="00517ACF" w:rsidP="008A7366">
      <w:pPr>
        <w:rPr>
          <w:i/>
        </w:rPr>
      </w:pPr>
    </w:p>
    <w:p w14:paraId="2D4F1F74" w14:textId="77777777" w:rsidR="00517ACF" w:rsidRDefault="00517ACF" w:rsidP="008A7366">
      <w:pPr>
        <w:rPr>
          <w:i/>
        </w:rPr>
      </w:pPr>
    </w:p>
    <w:bookmarkStart w:id="1" w:name="_Hlk131848832"/>
    <w:p w14:paraId="7D6421AC" w14:textId="77777777" w:rsidR="00825622" w:rsidRPr="00113CFE" w:rsidRDefault="00825622" w:rsidP="00825622">
      <w:pPr>
        <w:pStyle w:val="DisclaimerText"/>
        <w:framePr w:w="0" w:hSpace="0" w:vSpace="0" w:wrap="auto" w:hAnchor="text" w:xAlign="left" w:yAlign="inline"/>
        <w:suppressOverlap w:val="0"/>
      </w:pPr>
      <w:r>
        <w:rPr>
          <w:noProof/>
        </w:rPr>
        <mc:AlternateContent>
          <mc:Choice Requires="wps">
            <w:drawing>
              <wp:inline distT="0" distB="0" distL="0" distR="0" wp14:anchorId="0A4B7E78" wp14:editId="0D3F8269">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437F1562" w14:textId="77777777" w:rsidR="00825622" w:rsidRPr="00447D52" w:rsidRDefault="00825622" w:rsidP="00825622">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0A4B7E78" id="Acknowledgement"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6XAMAAAI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437F1562" w14:textId="77777777" w:rsidR="00825622" w:rsidRPr="00447D52" w:rsidRDefault="00825622" w:rsidP="00825622">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46" behindDoc="0" locked="1" layoutInCell="1" allowOverlap="1" wp14:anchorId="587AAE31" wp14:editId="630480E7">
            <wp:simplePos x="0" y="0"/>
            <wp:positionH relativeFrom="page">
              <wp:posOffset>5281930</wp:posOffset>
            </wp:positionH>
            <wp:positionV relativeFrom="line">
              <wp:posOffset>0</wp:posOffset>
            </wp:positionV>
            <wp:extent cx="1655445" cy="986155"/>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1655445" cy="986155"/>
                    </a:xfrm>
                    <a:prstGeom prst="rect">
                      <a:avLst/>
                    </a:prstGeom>
                  </pic:spPr>
                </pic:pic>
              </a:graphicData>
            </a:graphic>
            <wp14:sizeRelH relativeFrom="page">
              <wp14:pctWidth>0</wp14:pctWidth>
            </wp14:sizeRelH>
            <wp14:sizeRelV relativeFrom="page">
              <wp14:pctHeight>0</wp14:pctHeight>
            </wp14:sizeRelV>
          </wp:anchor>
        </w:drawing>
      </w:r>
    </w:p>
    <w:p w14:paraId="056CB1DC" w14:textId="197C8D39" w:rsidR="00825622" w:rsidRPr="00113CFE" w:rsidRDefault="00825622" w:rsidP="00825622">
      <w:pPr>
        <w:pStyle w:val="DisclaimerText"/>
        <w:framePr w:w="0" w:hSpace="0" w:vSpace="0" w:wrap="auto" w:hAnchor="text" w:xAlign="left" w:yAlign="inline"/>
        <w:suppressOverlap w:val="0"/>
      </w:pPr>
      <w:r w:rsidRPr="00113CFE">
        <w:t>©</w:t>
      </w:r>
      <w:bookmarkStart w:id="2" w:name="_Copyright"/>
      <w:bookmarkEnd w:id="2"/>
      <w:r w:rsidRPr="00113CFE">
        <w:t xml:space="preserve"> The State of Victoria Department of Energy, Environment and Climate Action </w:t>
      </w:r>
      <w:r w:rsidR="001C59FE" w:rsidRPr="008A7366">
        <w:t>December</w:t>
      </w:r>
      <w:r w:rsidRPr="001C59FE">
        <w:t xml:space="preserve"> 2024</w:t>
      </w:r>
      <w:r w:rsidRPr="00113CFE">
        <w:t>.</w:t>
      </w:r>
      <w:r>
        <w:t xml:space="preserve"> </w:t>
      </w:r>
    </w:p>
    <w:p w14:paraId="35EFE777" w14:textId="77777777" w:rsidR="00825622" w:rsidRPr="008B65E6" w:rsidRDefault="00825622" w:rsidP="00825622">
      <w:pPr>
        <w:pStyle w:val="DisclaimerText"/>
        <w:framePr w:w="0" w:hSpace="0" w:vSpace="0" w:wrap="auto" w:hAnchor="text" w:xAlign="left" w:yAlign="inline"/>
        <w:suppressOverlap w:val="0"/>
        <w:rPr>
          <w:rFonts w:ascii="Arial Bold" w:hAnsi="Arial Bold"/>
        </w:rPr>
      </w:pPr>
      <w:bookmarkStart w:id="3" w:name="_CreativeCommonsMarker"/>
      <w:bookmarkStart w:id="4" w:name="_CreativeCommonsContent"/>
      <w:bookmarkEnd w:id="1"/>
      <w:bookmarkEnd w:id="3"/>
      <w:r w:rsidRPr="008B65E6">
        <w:rPr>
          <w:rFonts w:ascii="Arial Bold" w:hAnsi="Arial Bold"/>
        </w:rPr>
        <w:t>Creative Commons</w:t>
      </w:r>
    </w:p>
    <w:p w14:paraId="4F8F8FF4" w14:textId="77777777" w:rsidR="00825622" w:rsidRPr="00113CFE" w:rsidRDefault="00825622" w:rsidP="00825622">
      <w:pPr>
        <w:pStyle w:val="DisclaimerText"/>
        <w:framePr w:w="0" w:hSpace="0" w:vSpace="0" w:wrap="auto" w:hAnchor="text" w:xAlign="left" w:yAlign="inline"/>
        <w:suppressOverlap w:val="0"/>
        <w:rPr>
          <w:rFonts w:ascii="Arial Bold" w:hAnsi="Arial Bold"/>
        </w:rPr>
      </w:pPr>
      <w:r w:rsidRPr="00113CFE">
        <w:t xml:space="preserve">This work is licensed under a Creative Commons Attribution 4.0 International licence, visit the </w:t>
      </w:r>
      <w:hyperlink r:id="rId32" w:tooltip="Creative Commons website" w:history="1">
        <w:r w:rsidRPr="00113CFE">
          <w:rPr>
            <w:u w:val="single"/>
          </w:rPr>
          <w:t>Creative Commons website</w:t>
        </w:r>
      </w:hyperlink>
      <w:r w:rsidRPr="00113CFE">
        <w:t xml:space="preserve"> (</w:t>
      </w:r>
      <w:hyperlink r:id="rId33" w:history="1">
        <w:r w:rsidRPr="00113CFE">
          <w:t>http://creativecommons.org/licenses/by/4.0/</w:t>
        </w:r>
      </w:hyperlink>
      <w:r w:rsidRPr="00113CFE">
        <w:t>).</w:t>
      </w:r>
    </w:p>
    <w:p w14:paraId="519267AB" w14:textId="77777777" w:rsidR="00825622" w:rsidRPr="00113CFE" w:rsidRDefault="00825622" w:rsidP="00825622">
      <w:pPr>
        <w:pStyle w:val="DisclaimerText"/>
        <w:framePr w:w="0" w:hSpace="0" w:vSpace="0" w:wrap="auto" w:hAnchor="text" w:xAlign="left" w:yAlign="inline"/>
        <w:suppressOverlap w:val="0"/>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2BF10294" w14:textId="77777777" w:rsidR="00825622" w:rsidRPr="008B65E6" w:rsidRDefault="00825622" w:rsidP="00825622">
      <w:pPr>
        <w:pStyle w:val="DisclaimerText"/>
        <w:framePr w:w="0" w:hSpace="0" w:vSpace="0" w:wrap="auto" w:hAnchor="text" w:xAlign="left" w:yAlign="inline"/>
        <w:suppressOverlap w:val="0"/>
        <w:rPr>
          <w:rFonts w:ascii="Arial Bold" w:hAnsi="Arial Bold"/>
        </w:rPr>
      </w:pPr>
      <w:r w:rsidRPr="008B65E6">
        <w:rPr>
          <w:rFonts w:ascii="Arial Bold" w:hAnsi="Arial Bold"/>
        </w:rPr>
        <w:t>Disclaimer</w:t>
      </w:r>
    </w:p>
    <w:p w14:paraId="57FCC2A7" w14:textId="77777777" w:rsidR="00825622" w:rsidRPr="00113CFE" w:rsidRDefault="00825622" w:rsidP="00825622">
      <w:pPr>
        <w:pStyle w:val="DisclaimerText"/>
        <w:framePr w:w="0" w:hSpace="0" w:vSpace="0" w:wrap="auto" w:hAnchor="text" w:xAlign="left" w:yAlign="inline"/>
        <w:suppressOverlap w:val="0"/>
      </w:pPr>
      <w:r w:rsidRPr="00113CFE">
        <w:t xml:space="preserve">This publication may be of assistance to </w:t>
      </w:r>
      <w:proofErr w:type="gramStart"/>
      <w:r w:rsidRPr="00113CFE">
        <w:t>you</w:t>
      </w:r>
      <w:proofErr w:type="gramEnd"/>
      <w:r w:rsidRPr="00113CFE">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6C4672C" w14:textId="77777777" w:rsidR="00825622" w:rsidRPr="008B65E6" w:rsidRDefault="00825622" w:rsidP="00825622">
      <w:pPr>
        <w:pStyle w:val="DisclaimerText12pt"/>
        <w:framePr w:w="0" w:hSpace="0" w:vSpace="0" w:wrap="auto" w:hAnchor="text" w:xAlign="left" w:yAlign="inline"/>
        <w:suppressOverlap w:val="0"/>
        <w:rPr>
          <w:rFonts w:ascii="Arial Bold" w:hAnsi="Arial Bold"/>
        </w:rPr>
      </w:pPr>
      <w:r w:rsidRPr="008B65E6">
        <w:rPr>
          <w:rFonts w:ascii="Arial Bold" w:hAnsi="Arial Bold"/>
        </w:rPr>
        <w:t>Accessibility</w:t>
      </w:r>
    </w:p>
    <w:p w14:paraId="1F957390" w14:textId="1F3F74DC" w:rsidR="00825622" w:rsidRPr="004A1727" w:rsidRDefault="00825622" w:rsidP="008A7366">
      <w:pPr>
        <w:pStyle w:val="DisclaimerText12pt"/>
        <w:framePr w:w="0" w:hSpace="0" w:vSpace="0" w:wrap="auto" w:hAnchor="text" w:xAlign="left" w:yAlign="inline"/>
        <w:suppressOverlap w:val="0"/>
      </w:pPr>
      <w:r w:rsidRPr="00113CFE">
        <w:t xml:space="preserve">To receive this document in an alternative format, phone the Customer Service Centre on 136 186, email </w:t>
      </w:r>
      <w:hyperlink r:id="rId34" w:history="1">
        <w:r w:rsidRPr="00113CFE">
          <w:rPr>
            <w:szCs w:val="24"/>
            <w:u w:val="single"/>
          </w:rPr>
          <w:t>customer.service@delwp.vic.gov.au</w:t>
        </w:r>
      </w:hyperlink>
      <w:r w:rsidRPr="00113CFE">
        <w:t xml:space="preserve">, or contact National Relay Service on 133 677. Available at </w:t>
      </w:r>
      <w:hyperlink r:id="rId35" w:tooltip="Department of Energy, Environment and Climate Action website" w:history="1">
        <w:r w:rsidRPr="00113CFE">
          <w:rPr>
            <w:szCs w:val="24"/>
            <w:u w:val="single"/>
          </w:rPr>
          <w:t>DEECA website</w:t>
        </w:r>
      </w:hyperlink>
      <w:r w:rsidRPr="00113CFE">
        <w:t xml:space="preserve"> (</w:t>
      </w:r>
      <w:r w:rsidR="0009799A" w:rsidRPr="0009799A">
        <w:t>https://www.deeca.vic.gov.au/boards-and-governance/performance-assessment</w:t>
      </w:r>
      <w:r w:rsidRPr="00113CFE">
        <w:t>).</w:t>
      </w:r>
      <w:bookmarkEnd w:id="4"/>
    </w:p>
    <w:sectPr w:rsidR="00825622" w:rsidRPr="004A1727" w:rsidSect="007425C9">
      <w:headerReference w:type="default" r:id="rId36"/>
      <w:footerReference w:type="even" r:id="rId37"/>
      <w:footerReference w:type="default" r:id="rId38"/>
      <w:footerReference w:type="first" r:id="rId39"/>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13614" w14:textId="77777777" w:rsidR="004F097C" w:rsidRDefault="004F097C" w:rsidP="00CD157B">
      <w:pPr>
        <w:pStyle w:val="NoSpacing"/>
      </w:pPr>
    </w:p>
    <w:p w14:paraId="03B4565D" w14:textId="77777777" w:rsidR="004F097C" w:rsidRDefault="004F097C"/>
  </w:endnote>
  <w:endnote w:type="continuationSeparator" w:id="0">
    <w:p w14:paraId="20673DDB" w14:textId="77777777" w:rsidR="004F097C" w:rsidRDefault="004F097C" w:rsidP="00CD157B">
      <w:pPr>
        <w:pStyle w:val="NoSpacing"/>
      </w:pPr>
    </w:p>
    <w:p w14:paraId="33BCBE85" w14:textId="77777777" w:rsidR="004F097C" w:rsidRDefault="004F097C"/>
  </w:endnote>
  <w:endnote w:type="continuationNotice" w:id="1">
    <w:p w14:paraId="0BAFD6E4" w14:textId="77777777" w:rsidR="004F097C" w:rsidRDefault="004F097C" w:rsidP="00CD157B">
      <w:pPr>
        <w:pStyle w:val="NoSpacing"/>
      </w:pPr>
    </w:p>
    <w:p w14:paraId="73D39675" w14:textId="77777777" w:rsidR="004F097C" w:rsidRDefault="004F0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259656BB" w14:textId="77777777" w:rsidTr="00505430">
      <w:trPr>
        <w:trHeight w:val="397"/>
      </w:trPr>
      <w:tc>
        <w:tcPr>
          <w:tcW w:w="340" w:type="dxa"/>
        </w:tcPr>
        <w:p w14:paraId="3C08130C" w14:textId="6B7D1692" w:rsidR="00A60698" w:rsidRPr="00D55628" w:rsidRDefault="0065211E" w:rsidP="00A60698">
          <w:pPr>
            <w:pStyle w:val="FooterEvenPageNumber"/>
            <w:framePr w:wrap="auto" w:vAnchor="margin" w:hAnchor="text" w:yAlign="inline"/>
          </w:pPr>
          <w:r>
            <w:rPr>
              <w:noProof/>
            </w:rPr>
            <mc:AlternateContent>
              <mc:Choice Requires="wps">
                <w:drawing>
                  <wp:anchor distT="0" distB="0" distL="0" distR="0" simplePos="0" relativeHeight="251660299" behindDoc="0" locked="0" layoutInCell="1" allowOverlap="1" wp14:anchorId="38D7C791" wp14:editId="0DAFE86D">
                    <wp:simplePos x="635" y="635"/>
                    <wp:positionH relativeFrom="page">
                      <wp:align>center</wp:align>
                    </wp:positionH>
                    <wp:positionV relativeFrom="page">
                      <wp:align>bottom</wp:align>
                    </wp:positionV>
                    <wp:extent cx="215900" cy="824865"/>
                    <wp:effectExtent l="0" t="0" r="12700" b="0"/>
                    <wp:wrapNone/>
                    <wp:docPr id="212995112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7D7DC4F9" w14:textId="5CFA71A0"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7C791" id="_x0000_t202" coordsize="21600,21600" o:spt="202" path="m,l,21600r21600,l21600,xe">
                    <v:stroke joinstyle="miter"/>
                    <v:path gradientshapeok="t" o:connecttype="rect"/>
                  </v:shapetype>
                  <v:shape id="Text Box 2" o:spid="_x0000_s1027" type="#_x0000_t202" alt="OFFICIAL" style="position:absolute;margin-left:0;margin-top:0;width:17pt;height:64.95pt;z-index:2516602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" filled="f" stroked="f">
                    <v:fill o:detectmouseclick="t"/>
                    <v:textbox style="mso-fit-shape-to-text:t" inset="0,0,0,15pt">
                      <w:txbxContent>
                        <w:p w14:paraId="7D7DC4F9" w14:textId="5CFA71A0"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780464D487D34CE3A50701E9A45FE398"/>
            </w:placeholder>
            <w:temporary/>
            <w:showingPlcHdr/>
          </w:sdtPr>
          <w:sdtEndPr/>
          <w:sdtContent>
            <w:p w14:paraId="1CCF8EB3"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F823EB699A3B4D42BC5BFC88DD6B87BB"/>
            </w:placeholder>
            <w:temporary/>
            <w:showingPlcHdr/>
          </w:sdtPr>
          <w:sdtEndPr/>
          <w:sdtContent>
            <w:p w14:paraId="61A22C9C" w14:textId="77777777" w:rsidR="00A60698" w:rsidRPr="00810C40" w:rsidRDefault="00AD3B4D" w:rsidP="00A60698">
              <w:pPr>
                <w:pStyle w:val="FooterEven"/>
              </w:pPr>
              <w:r w:rsidRPr="0093481A">
                <w:rPr>
                  <w:rStyle w:val="PlaceholderText"/>
                </w:rPr>
                <w:t>Insert subtitle here</w:t>
              </w:r>
            </w:p>
          </w:sdtContent>
        </w:sdt>
      </w:tc>
    </w:tr>
  </w:tbl>
  <w:p w14:paraId="138A19A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1AE98817" w14:textId="77777777" w:rsidTr="0040758A">
      <w:trPr>
        <w:trHeight w:val="397"/>
      </w:trPr>
      <w:tc>
        <w:tcPr>
          <w:tcW w:w="9071" w:type="dxa"/>
        </w:tcPr>
        <w:p w14:paraId="08DA5B5A" w14:textId="7C2B76FB" w:rsidR="000A7E36" w:rsidRDefault="0065211E" w:rsidP="000A7E36">
          <w:pPr>
            <w:pStyle w:val="FooterOdd"/>
          </w:pPr>
          <w:r>
            <w:rPr>
              <w:noProof/>
            </w:rPr>
            <mc:AlternateContent>
              <mc:Choice Requires="wps">
                <w:drawing>
                  <wp:anchor distT="0" distB="0" distL="0" distR="0" simplePos="0" relativeHeight="251661323" behindDoc="0" locked="0" layoutInCell="1" allowOverlap="1" wp14:anchorId="2A80783E" wp14:editId="1951F8C1">
                    <wp:simplePos x="635" y="635"/>
                    <wp:positionH relativeFrom="page">
                      <wp:align>center</wp:align>
                    </wp:positionH>
                    <wp:positionV relativeFrom="page">
                      <wp:align>bottom</wp:align>
                    </wp:positionV>
                    <wp:extent cx="551815" cy="452755"/>
                    <wp:effectExtent l="0" t="0" r="635" b="0"/>
                    <wp:wrapNone/>
                    <wp:docPr id="181669150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6200510" w14:textId="456F3DE9"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80783E"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5.65pt;z-index:2516613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fill o:detectmouseclick="t"/>
                    <v:textbox style="mso-fit-shape-to-text:t" inset="0,0,0,15pt">
                      <w:txbxContent>
                        <w:p w14:paraId="76200510" w14:textId="456F3DE9"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1808BBB19560439E89246340C3E55615"/>
            </w:placeholder>
            <w:temporary/>
            <w:showingPlcHdr/>
          </w:sdtPr>
          <w:sdtEndPr/>
          <w:sdtContent>
            <w:p w14:paraId="3BEF4551"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D5B995CBCDE745CF9512A324B8512377"/>
            </w:placeholder>
            <w:temporary/>
            <w:showingPlcHdr/>
          </w:sdtPr>
          <w:sdtEndPr/>
          <w:sdtContent>
            <w:p w14:paraId="6543020D"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56B28D74"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0C1691E1"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8035" w14:textId="38B5BFB7" w:rsidR="002B4871" w:rsidRDefault="0065211E">
    <w:pPr>
      <w:pStyle w:val="Footer"/>
    </w:pPr>
    <w:r>
      <w:rPr>
        <w:noProof/>
      </w:rPr>
      <mc:AlternateContent>
        <mc:Choice Requires="wps">
          <w:drawing>
            <wp:anchor distT="0" distB="0" distL="0" distR="0" simplePos="0" relativeHeight="251659275" behindDoc="0" locked="0" layoutInCell="1" allowOverlap="1" wp14:anchorId="2F88A161" wp14:editId="35650753">
              <wp:simplePos x="635" y="635"/>
              <wp:positionH relativeFrom="page">
                <wp:align>center</wp:align>
              </wp:positionH>
              <wp:positionV relativeFrom="page">
                <wp:align>bottom</wp:align>
              </wp:positionV>
              <wp:extent cx="551815" cy="452755"/>
              <wp:effectExtent l="0" t="0" r="635" b="0"/>
              <wp:wrapNone/>
              <wp:docPr id="78617945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2292FD8" w14:textId="111D64B6"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8A161" id="_x0000_t202" coordsize="21600,21600" o:spt="202" path="m,l,21600r21600,l21600,xe">
              <v:stroke joinstyle="miter"/>
              <v:path gradientshapeok="t" o:connecttype="rect"/>
            </v:shapetype>
            <v:shape id="Text Box 1" o:spid="_x0000_s1029" type="#_x0000_t202" alt="OFFICIAL" style="position:absolute;margin-left:0;margin-top:0;width:43.45pt;height:35.65pt;z-index:251659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52292FD8" w14:textId="111D64B6"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6E9C2F59" w14:textId="77777777" w:rsidTr="00380ABF">
      <w:trPr>
        <w:trHeight w:val="397"/>
      </w:trPr>
      <w:tc>
        <w:tcPr>
          <w:tcW w:w="340" w:type="dxa"/>
        </w:tcPr>
        <w:p w14:paraId="0F4D7A64" w14:textId="26E9DF88" w:rsidR="00204E7D" w:rsidRPr="00D55628" w:rsidRDefault="0065211E" w:rsidP="00204E7D">
          <w:pPr>
            <w:pStyle w:val="FooterEvenPageNumber"/>
            <w:framePr w:wrap="auto" w:vAnchor="margin" w:hAnchor="text" w:yAlign="inline"/>
          </w:pPr>
          <w:r>
            <w:rPr>
              <w:noProof/>
            </w:rPr>
            <mc:AlternateContent>
              <mc:Choice Requires="wps">
                <w:drawing>
                  <wp:anchor distT="0" distB="0" distL="0" distR="0" simplePos="0" relativeHeight="251663371" behindDoc="0" locked="0" layoutInCell="1" allowOverlap="1" wp14:anchorId="75311BA0" wp14:editId="4ECA2E3B">
                    <wp:simplePos x="635" y="635"/>
                    <wp:positionH relativeFrom="page">
                      <wp:align>center</wp:align>
                    </wp:positionH>
                    <wp:positionV relativeFrom="page">
                      <wp:align>bottom</wp:align>
                    </wp:positionV>
                    <wp:extent cx="215900" cy="824865"/>
                    <wp:effectExtent l="0" t="0" r="12700" b="0"/>
                    <wp:wrapNone/>
                    <wp:docPr id="186113177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5D60D5DA" w14:textId="66F8ED3A"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311BA0" id="_x0000_t202" coordsize="21600,21600" o:spt="202" path="m,l,21600r21600,l21600,xe">
                    <v:stroke joinstyle="miter"/>
                    <v:path gradientshapeok="t" o:connecttype="rect"/>
                  </v:shapetype>
                  <v:shape id="Text Box 5" o:spid="_x0000_s1030" type="#_x0000_t202" alt="OFFICIAL" style="position:absolute;margin-left:0;margin-top:0;width:17pt;height:64.95pt;z-index:2516633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" filled="f" stroked="f">
                    <v:fill o:detectmouseclick="t"/>
                    <v:textbox style="mso-fit-shape-to-text:t" inset="0,0,0,15pt">
                      <w:txbxContent>
                        <w:p w14:paraId="5D60D5DA" w14:textId="66F8ED3A"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v:textbox>
                    <w10:wrap anchorx="page" anchory="page"/>
                  </v:shape>
                </w:pict>
              </mc:Fallback>
            </mc:AlternateContent>
          </w:r>
          <w:r w:rsidR="00204E7D" w:rsidRPr="00D55628">
            <w:fldChar w:fldCharType="begin"/>
          </w:r>
          <w:r w:rsidR="00204E7D" w:rsidRPr="00D55628">
            <w:instrText xml:space="preserve"> PAGE   \* MERGEFORMAT </w:instrText>
          </w:r>
          <w:r w:rsidR="00204E7D" w:rsidRPr="00D55628">
            <w:fldChar w:fldCharType="separate"/>
          </w:r>
          <w:r w:rsidR="00204E7D">
            <w:t>2</w:t>
          </w:r>
          <w:r w:rsidR="00204E7D" w:rsidRPr="00D55628">
            <w:fldChar w:fldCharType="end"/>
          </w:r>
        </w:p>
      </w:tc>
      <w:tc>
        <w:tcPr>
          <w:tcW w:w="9071" w:type="dxa"/>
        </w:tcPr>
        <w:p w14:paraId="2A5D04BA" w14:textId="01DC4976" w:rsidR="00204E7D" w:rsidRDefault="00BA077D" w:rsidP="00204E7D">
          <w:pPr>
            <w:pStyle w:val="FooterEven"/>
          </w:pPr>
          <w:r>
            <w:t>Performance assessment model policy</w:t>
          </w:r>
        </w:p>
        <w:p w14:paraId="4D8B2877" w14:textId="7E8DE87C" w:rsidR="00204E7D" w:rsidRPr="00810C40" w:rsidRDefault="00566C69" w:rsidP="00204E7D">
          <w:pPr>
            <w:pStyle w:val="FooterEven"/>
          </w:pPr>
          <w:r>
            <w:t>Department of Energy, Environment and Climate Action</w:t>
          </w:r>
        </w:p>
      </w:tc>
    </w:tr>
  </w:tbl>
  <w:p w14:paraId="78D16C87" w14:textId="77099729" w:rsidR="002B4871" w:rsidRDefault="002B48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5EC6A068" w14:textId="77777777" w:rsidTr="00380ABF">
      <w:trPr>
        <w:trHeight w:val="397"/>
      </w:trPr>
      <w:tc>
        <w:tcPr>
          <w:tcW w:w="9071" w:type="dxa"/>
        </w:tcPr>
        <w:p w14:paraId="7264FA02" w14:textId="1C4EE17A" w:rsidR="00204E7D" w:rsidRDefault="0065211E" w:rsidP="00204E7D">
          <w:pPr>
            <w:pStyle w:val="FooterOdd"/>
          </w:pPr>
          <w:r>
            <w:rPr>
              <w:noProof/>
            </w:rPr>
            <mc:AlternateContent>
              <mc:Choice Requires="wps">
                <w:drawing>
                  <wp:anchor distT="0" distB="0" distL="0" distR="0" simplePos="0" relativeHeight="251664395" behindDoc="0" locked="0" layoutInCell="1" allowOverlap="1" wp14:anchorId="192CBD12" wp14:editId="78651741">
                    <wp:simplePos x="635" y="635"/>
                    <wp:positionH relativeFrom="page">
                      <wp:align>center</wp:align>
                    </wp:positionH>
                    <wp:positionV relativeFrom="page">
                      <wp:align>bottom</wp:align>
                    </wp:positionV>
                    <wp:extent cx="551815" cy="452755"/>
                    <wp:effectExtent l="0" t="0" r="635" b="0"/>
                    <wp:wrapNone/>
                    <wp:docPr id="149594958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841D4D1" w14:textId="608E1324"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CBD12" id="_x0000_t202" coordsize="21600,21600" o:spt="202" path="m,l,21600r21600,l21600,xe">
                    <v:stroke joinstyle="miter"/>
                    <v:path gradientshapeok="t" o:connecttype="rect"/>
                  </v:shapetype>
                  <v:shape id="Text Box 6" o:spid="_x0000_s1031" type="#_x0000_t202" alt="OFFICIAL" style="position:absolute;left:0;text-align:left;margin-left:0;margin-top:0;width:43.45pt;height:35.65pt;z-index:2516643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fill o:detectmouseclick="t"/>
                    <v:textbox style="mso-fit-shape-to-text:t" inset="0,0,0,15pt">
                      <w:txbxContent>
                        <w:p w14:paraId="0841D4D1" w14:textId="608E1324"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v:textbox>
                    <w10:wrap anchorx="page" anchory="page"/>
                  </v:shape>
                </w:pict>
              </mc:Fallback>
            </mc:AlternateContent>
          </w:r>
          <w:r w:rsidR="00566C69">
            <w:t>Performance assessment model policy</w:t>
          </w:r>
        </w:p>
        <w:p w14:paraId="26D82526" w14:textId="5200374E" w:rsidR="00204E7D" w:rsidRPr="00CB1FB7" w:rsidRDefault="00566C69" w:rsidP="00204E7D">
          <w:pPr>
            <w:pStyle w:val="FooterOdd"/>
            <w:rPr>
              <w:b/>
            </w:rPr>
          </w:pPr>
          <w:r>
            <w:t>Department of Energy, Environment and Climate Action</w:t>
          </w:r>
        </w:p>
      </w:tc>
      <w:tc>
        <w:tcPr>
          <w:tcW w:w="340" w:type="dxa"/>
        </w:tcPr>
        <w:p w14:paraId="4D15F78C"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05049ADD" w14:textId="07895F18" w:rsidR="002B4871" w:rsidRDefault="002B48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4BF51" w14:textId="183E0044" w:rsidR="002B4871" w:rsidRDefault="0065211E">
    <w:pPr>
      <w:pStyle w:val="Footer"/>
    </w:pPr>
    <w:r>
      <w:rPr>
        <w:noProof/>
      </w:rPr>
      <mc:AlternateContent>
        <mc:Choice Requires="wps">
          <w:drawing>
            <wp:anchor distT="0" distB="0" distL="0" distR="0" simplePos="0" relativeHeight="251662347" behindDoc="0" locked="0" layoutInCell="1" allowOverlap="1" wp14:anchorId="1D9CF32B" wp14:editId="7D66CE37">
              <wp:simplePos x="635" y="635"/>
              <wp:positionH relativeFrom="page">
                <wp:align>center</wp:align>
              </wp:positionH>
              <wp:positionV relativeFrom="page">
                <wp:align>bottom</wp:align>
              </wp:positionV>
              <wp:extent cx="551815" cy="452755"/>
              <wp:effectExtent l="0" t="0" r="635" b="0"/>
              <wp:wrapNone/>
              <wp:docPr id="14793322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5CE6520" w14:textId="4A0A490D"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9CF32B" id="_x0000_t202" coordsize="21600,21600" o:spt="202" path="m,l,21600r21600,l21600,xe">
              <v:stroke joinstyle="miter"/>
              <v:path gradientshapeok="t" o:connecttype="rect"/>
            </v:shapetype>
            <v:shape id="Text Box 4" o:spid="_x0000_s1032" type="#_x0000_t202" alt="OFFICIAL" style="position:absolute;margin-left:0;margin-top:0;width:43.45pt;height:35.65pt;z-index:251662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35CE6520" w14:textId="4A0A490D" w:rsidR="0065211E" w:rsidRPr="0065211E" w:rsidRDefault="0065211E" w:rsidP="0065211E">
                    <w:pPr>
                      <w:spacing w:after="0"/>
                      <w:rPr>
                        <w:rFonts w:ascii="Calibri" w:eastAsia="Calibri" w:hAnsi="Calibri" w:cs="Calibri"/>
                        <w:noProof/>
                        <w:color w:val="000000"/>
                        <w:sz w:val="24"/>
                        <w:szCs w:val="24"/>
                      </w:rPr>
                    </w:pPr>
                    <w:r w:rsidRPr="0065211E">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EE157" w14:textId="77777777" w:rsidR="004F097C" w:rsidRPr="0056073C" w:rsidRDefault="004F097C" w:rsidP="005D764F">
      <w:pPr>
        <w:pStyle w:val="FootnoteSeparator"/>
      </w:pPr>
    </w:p>
    <w:p w14:paraId="7FB77701" w14:textId="77777777" w:rsidR="004F097C" w:rsidRDefault="004F097C"/>
  </w:footnote>
  <w:footnote w:type="continuationSeparator" w:id="0">
    <w:p w14:paraId="6768F2EB" w14:textId="77777777" w:rsidR="004F097C" w:rsidRPr="00CA30B7" w:rsidRDefault="004F097C" w:rsidP="006D5A90">
      <w:pPr>
        <w:rPr>
          <w:lang w:val="en-US"/>
        </w:rPr>
      </w:pPr>
      <w:r w:rsidRPr="00CA30B7">
        <w:rPr>
          <w:lang w:val="en-US"/>
        </w:rPr>
        <w:t>_______</w:t>
      </w:r>
    </w:p>
    <w:p w14:paraId="403C0D91" w14:textId="77777777" w:rsidR="004F097C" w:rsidRDefault="004F097C"/>
  </w:footnote>
  <w:footnote w:type="continuationNotice" w:id="1">
    <w:p w14:paraId="1210FF7D" w14:textId="77777777" w:rsidR="004F097C" w:rsidRDefault="004F097C" w:rsidP="006D5A90"/>
    <w:p w14:paraId="31261555" w14:textId="77777777" w:rsidR="004F097C" w:rsidRDefault="004F097C"/>
  </w:footnote>
  <w:footnote w:id="2">
    <w:p w14:paraId="1DA12593" w14:textId="77777777" w:rsidR="004D0B71" w:rsidRDefault="004D0B71" w:rsidP="004D0B71">
      <w:pPr>
        <w:pStyle w:val="FootnoteText"/>
        <w:spacing w:before="40" w:after="20"/>
      </w:pPr>
      <w:r>
        <w:rPr>
          <w:rStyle w:val="FootnoteReference"/>
        </w:rPr>
        <w:footnoteRef/>
      </w:r>
      <w:r>
        <w:t xml:space="preserve"> </w:t>
      </w:r>
      <w:r>
        <w:tab/>
        <w:t xml:space="preserve">The public sector values </w:t>
      </w:r>
      <w:proofErr w:type="gramStart"/>
      <w:r>
        <w:t>are:</w:t>
      </w:r>
      <w:proofErr w:type="gramEnd"/>
      <w:r>
        <w:t xml:space="preserve"> integrity, impartiality, accountability, respect, responsiveness, human rights, and leadership. </w:t>
      </w:r>
    </w:p>
  </w:footnote>
  <w:footnote w:id="3">
    <w:p w14:paraId="4A2B4B59" w14:textId="7E651A29" w:rsidR="004D0B71" w:rsidRDefault="004D0B71" w:rsidP="004D0B71">
      <w:pPr>
        <w:pStyle w:val="FootnoteText"/>
        <w:spacing w:before="40" w:after="20"/>
      </w:pPr>
      <w:r>
        <w:rPr>
          <w:rStyle w:val="FootnoteReference"/>
        </w:rPr>
        <w:footnoteRef/>
      </w:r>
      <w:r>
        <w:t xml:space="preserve"> </w:t>
      </w:r>
      <w:r>
        <w:tab/>
        <w:t>Issued by Victoria’s Public Sector Standards Commissioner pursuant to section</w:t>
      </w:r>
      <w:r w:rsidR="00473300">
        <w:t>s 7 and</w:t>
      </w:r>
      <w:r>
        <w:t xml:space="preserve"> 6</w:t>
      </w:r>
      <w:r w:rsidR="00D53EA4">
        <w:t>1</w:t>
      </w:r>
      <w:r>
        <w:t xml:space="preserve"> of the PAA.</w:t>
      </w:r>
    </w:p>
  </w:footnote>
  <w:footnote w:id="4">
    <w:p w14:paraId="79F67217" w14:textId="77777777" w:rsidR="004D0B71" w:rsidRDefault="004D0B71" w:rsidP="004D0B71">
      <w:pPr>
        <w:pStyle w:val="FootnoteText"/>
      </w:pPr>
      <w:r>
        <w:rPr>
          <w:rStyle w:val="FootnoteReference"/>
        </w:rPr>
        <w:footnoteRef/>
      </w:r>
      <w:r>
        <w:t xml:space="preserve"> </w:t>
      </w:r>
      <w:r>
        <w:tab/>
        <w:t>The requirement to assess the board’s collective performance (as well as individual performance) was introduced by 2014 amendments to the PAA.</w:t>
      </w:r>
    </w:p>
  </w:footnote>
  <w:footnote w:id="5">
    <w:p w14:paraId="6AFCB378" w14:textId="458ADA86" w:rsidR="00B04E57" w:rsidRDefault="00B04E57" w:rsidP="00B04E57">
      <w:pPr>
        <w:pStyle w:val="FootnoteText"/>
      </w:pPr>
      <w:r>
        <w:rPr>
          <w:rStyle w:val="FootnoteReference"/>
        </w:rPr>
        <w:footnoteRef/>
      </w:r>
      <w:r>
        <w:t xml:space="preserve"> </w:t>
      </w:r>
      <w:r>
        <w:tab/>
        <w:t>For example, a performance assessment plan that covers a three</w:t>
      </w:r>
      <w:r w:rsidR="00904143">
        <w:t>-</w:t>
      </w:r>
      <w:r>
        <w:t>year period might specify that self</w:t>
      </w:r>
      <w:r w:rsidR="00904143">
        <w:t>-</w:t>
      </w:r>
      <w:r>
        <w:t xml:space="preserve">assessment occur each year PLUS peer assessment in the </w:t>
      </w:r>
      <w:r w:rsidR="004657E1">
        <w:t>seco</w:t>
      </w:r>
      <w:r>
        <w:t>nd year and, if appropriate, independent assessment in the third year.</w:t>
      </w:r>
    </w:p>
  </w:footnote>
  <w:footnote w:id="6">
    <w:p w14:paraId="16174F52" w14:textId="1C34620F" w:rsidR="009A0D10" w:rsidRDefault="009A0D10" w:rsidP="009A0D10">
      <w:pPr>
        <w:pStyle w:val="FootnoteText"/>
      </w:pPr>
      <w:r>
        <w:rPr>
          <w:rStyle w:val="FootnoteReference"/>
        </w:rPr>
        <w:footnoteRef/>
      </w:r>
      <w:r>
        <w:t xml:space="preserve"> </w:t>
      </w:r>
      <w:r>
        <w:tab/>
        <w:t xml:space="preserve">See the </w:t>
      </w:r>
      <w:hyperlink r:id="rId1" w:history="1">
        <w:r w:rsidR="00D20A98" w:rsidRPr="005E1D17">
          <w:rPr>
            <w:rStyle w:val="Hyperlink"/>
          </w:rPr>
          <w:t>Appointment and Remuneration Guideli</w:t>
        </w:r>
        <w:r w:rsidR="005E1D17" w:rsidRPr="005E1D17">
          <w:rPr>
            <w:rStyle w:val="Hyperlink"/>
          </w:rPr>
          <w:t>nes</w:t>
        </w:r>
      </w:hyperlink>
      <w:r w:rsidR="005E1D1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954D"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450AE32C" wp14:editId="4DB9D5F1">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292A5A0">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4A498699">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6D5158E9" wp14:editId="64CCE518">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F6E9CB5">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839A6B0">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237DACB3" wp14:editId="275726D8">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1787BA3">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181D3AA">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557A01D0" wp14:editId="44A45E21">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9228AB8">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6A890CE3">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0BC0275" wp14:editId="77B746F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74CDCE3">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546EAE36">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4D2AC40E" wp14:editId="7CB021D4">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071E5C8">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31FE984D">
              <v:path arrowok="t"/>
              <w10:wrap anchorx="page" anchory="page"/>
              <w10:anchorlock/>
            </v:shape>
          </w:pict>
        </mc:Fallback>
      </mc:AlternateContent>
    </w:r>
  </w:p>
  <w:p w14:paraId="4E90AE9F"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3A85"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C8918E3" wp14:editId="328CAD88">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806BD41">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13B3C44B">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59EA17FE" wp14:editId="04A74019">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0B9732C">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64393141">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F52A3E0" wp14:editId="406582F8">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FE76D7C">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67FA4E6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115E3F96" wp14:editId="67BA08A6">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8104504">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7B3C64E">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6EABA1E" wp14:editId="55F30DBA">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C910954">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7AA25BAC">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86289EF" wp14:editId="27528F36">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B9D76E6">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E625CC8">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AA04D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9B1F4C"/>
    <w:multiLevelType w:val="hybridMultilevel"/>
    <w:tmpl w:val="458A45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0A664D"/>
    <w:multiLevelType w:val="multilevel"/>
    <w:tmpl w:val="2E804CD0"/>
    <w:name w:val="DSEAppendices"/>
    <w:lvl w:ilvl="0">
      <w:start w:val="1"/>
      <w:numFmt w:val="lowerLetter"/>
      <w:lvlText w:val="(%1)"/>
      <w:lvlJc w:val="left"/>
      <w:pPr>
        <w:tabs>
          <w:tab w:val="num" w:pos="454"/>
        </w:tabs>
        <w:ind w:left="454" w:hanging="454"/>
      </w:pPr>
      <w:rPr>
        <w:rFonts w:hint="default"/>
      </w:rPr>
    </w:lvl>
    <w:lvl w:ilvl="1">
      <w:start w:val="1"/>
      <w:numFmt w:val="bullet"/>
      <w:lvlText w:val="–"/>
      <w:lvlJc w:val="left"/>
      <w:pPr>
        <w:tabs>
          <w:tab w:val="num" w:pos="680"/>
        </w:tabs>
        <w:ind w:left="680" w:hanging="226"/>
      </w:pPr>
      <w:rPr>
        <w:rFonts w:ascii="Georgia" w:hAnsi="Georgia" w:hint="default"/>
        <w:color w:val="auto"/>
      </w:rPr>
    </w:lvl>
    <w:lvl w:ilvl="2">
      <w:start w:val="1"/>
      <w:numFmt w:val="none"/>
      <w:lvlText w:val="-"/>
      <w:lvlJc w:val="left"/>
      <w:pPr>
        <w:tabs>
          <w:tab w:val="num" w:pos="851"/>
        </w:tabs>
        <w:ind w:left="851" w:hanging="22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F325648"/>
    <w:multiLevelType w:val="hybridMultilevel"/>
    <w:tmpl w:val="C84EEC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CF000EC"/>
    <w:multiLevelType w:val="hybridMultilevel"/>
    <w:tmpl w:val="6680B6D4"/>
    <w:lvl w:ilvl="0" w:tplc="8C5895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AC70C0A"/>
    <w:multiLevelType w:val="hybridMultilevel"/>
    <w:tmpl w:val="42D66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D31DD5"/>
    <w:multiLevelType w:val="hybridMultilevel"/>
    <w:tmpl w:val="488A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12136B"/>
    <w:multiLevelType w:val="hybridMultilevel"/>
    <w:tmpl w:val="42D66F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6F4C0C75"/>
    <w:multiLevelType w:val="hybridMultilevel"/>
    <w:tmpl w:val="42D66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8"/>
  </w:num>
  <w:num w:numId="4" w16cid:durableId="985085104">
    <w:abstractNumId w:val="12"/>
  </w:num>
  <w:num w:numId="5" w16cid:durableId="1872112631">
    <w:abstractNumId w:val="16"/>
  </w:num>
  <w:num w:numId="6" w16cid:durableId="336812815">
    <w:abstractNumId w:val="31"/>
  </w:num>
  <w:num w:numId="7" w16cid:durableId="155153463">
    <w:abstractNumId w:val="4"/>
  </w:num>
  <w:num w:numId="8" w16cid:durableId="1428236886">
    <w:abstractNumId w:val="34"/>
  </w:num>
  <w:num w:numId="9" w16cid:durableId="1644658156">
    <w:abstractNumId w:val="25"/>
  </w:num>
  <w:num w:numId="10" w16cid:durableId="103154041">
    <w:abstractNumId w:val="38"/>
  </w:num>
  <w:num w:numId="11" w16cid:durableId="2129203638">
    <w:abstractNumId w:val="41"/>
  </w:num>
  <w:num w:numId="12" w16cid:durableId="377365663">
    <w:abstractNumId w:val="32"/>
  </w:num>
  <w:num w:numId="13" w16cid:durableId="1308436166">
    <w:abstractNumId w:val="33"/>
  </w:num>
  <w:num w:numId="14" w16cid:durableId="1335643199">
    <w:abstractNumId w:val="46"/>
  </w:num>
  <w:num w:numId="15" w16cid:durableId="384449836">
    <w:abstractNumId w:val="9"/>
  </w:num>
  <w:num w:numId="16" w16cid:durableId="1160577431">
    <w:abstractNumId w:val="37"/>
  </w:num>
  <w:num w:numId="17" w16cid:durableId="27071314">
    <w:abstractNumId w:val="8"/>
  </w:num>
  <w:num w:numId="18" w16cid:durableId="338120444">
    <w:abstractNumId w:val="6"/>
  </w:num>
  <w:num w:numId="19" w16cid:durableId="1673139647">
    <w:abstractNumId w:val="21"/>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7"/>
  </w:num>
  <w:num w:numId="35" w16cid:durableId="1742215375">
    <w:abstractNumId w:val="57"/>
  </w:num>
  <w:num w:numId="36" w16cid:durableId="664823544">
    <w:abstractNumId w:val="53"/>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1012269">
    <w:abstractNumId w:val="11"/>
  </w:num>
  <w:num w:numId="42" w16cid:durableId="13919907">
    <w:abstractNumId w:val="29"/>
  </w:num>
  <w:num w:numId="43" w16cid:durableId="1257716520">
    <w:abstractNumId w:val="45"/>
  </w:num>
  <w:num w:numId="44" w16cid:durableId="528875737">
    <w:abstractNumId w:val="52"/>
  </w:num>
  <w:num w:numId="45" w16cid:durableId="54937766">
    <w:abstractNumId w:val="35"/>
  </w:num>
  <w:num w:numId="46" w16cid:durableId="751660441">
    <w:abstractNumId w:val="17"/>
  </w:num>
  <w:num w:numId="47" w16cid:durableId="1885479101">
    <w:abstractNumId w:val="13"/>
  </w:num>
  <w:num w:numId="48" w16cid:durableId="225649955">
    <w:abstractNumId w:val="34"/>
  </w:num>
  <w:num w:numId="49" w16cid:durableId="1959331436">
    <w:abstractNumId w:val="3"/>
  </w:num>
  <w:num w:numId="50" w16cid:durableId="1813936044">
    <w:abstractNumId w:val="36"/>
  </w:num>
  <w:num w:numId="51" w16cid:durableId="2021927089">
    <w:abstractNumId w:val="34"/>
  </w:num>
  <w:num w:numId="52" w16cid:durableId="1509901211">
    <w:abstractNumId w:val="34"/>
  </w:num>
  <w:num w:numId="53" w16cid:durableId="71912901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9A3D4F"/>
    <w:rsid w:val="00000194"/>
    <w:rsid w:val="00000812"/>
    <w:rsid w:val="00000901"/>
    <w:rsid w:val="00001645"/>
    <w:rsid w:val="00001D81"/>
    <w:rsid w:val="00002691"/>
    <w:rsid w:val="00003260"/>
    <w:rsid w:val="000035F6"/>
    <w:rsid w:val="0000387E"/>
    <w:rsid w:val="00004327"/>
    <w:rsid w:val="00004810"/>
    <w:rsid w:val="00004A68"/>
    <w:rsid w:val="00004EEE"/>
    <w:rsid w:val="000058A9"/>
    <w:rsid w:val="00005CCD"/>
    <w:rsid w:val="00006884"/>
    <w:rsid w:val="000068CA"/>
    <w:rsid w:val="0000736B"/>
    <w:rsid w:val="00007A11"/>
    <w:rsid w:val="000105A9"/>
    <w:rsid w:val="00010783"/>
    <w:rsid w:val="0001078D"/>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CC0"/>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BEA"/>
    <w:rsid w:val="00036D45"/>
    <w:rsid w:val="0003726A"/>
    <w:rsid w:val="00037321"/>
    <w:rsid w:val="000374E9"/>
    <w:rsid w:val="00037830"/>
    <w:rsid w:val="00037F96"/>
    <w:rsid w:val="000408B7"/>
    <w:rsid w:val="00040B53"/>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2F3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B9C"/>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D2F"/>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87DD9"/>
    <w:rsid w:val="00087F79"/>
    <w:rsid w:val="00087F81"/>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99A"/>
    <w:rsid w:val="00097EDE"/>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949"/>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09B1"/>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772"/>
    <w:rsid w:val="001129F9"/>
    <w:rsid w:val="00112A56"/>
    <w:rsid w:val="00112EDB"/>
    <w:rsid w:val="00112FC9"/>
    <w:rsid w:val="00113496"/>
    <w:rsid w:val="0011371C"/>
    <w:rsid w:val="00113A48"/>
    <w:rsid w:val="00113D4F"/>
    <w:rsid w:val="00113EE7"/>
    <w:rsid w:val="0011429D"/>
    <w:rsid w:val="00114377"/>
    <w:rsid w:val="0011480F"/>
    <w:rsid w:val="00114BDC"/>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5B"/>
    <w:rsid w:val="001278BC"/>
    <w:rsid w:val="001301E1"/>
    <w:rsid w:val="001302AB"/>
    <w:rsid w:val="0013044E"/>
    <w:rsid w:val="00130471"/>
    <w:rsid w:val="00130735"/>
    <w:rsid w:val="00130B14"/>
    <w:rsid w:val="0013134A"/>
    <w:rsid w:val="001320DB"/>
    <w:rsid w:val="00132534"/>
    <w:rsid w:val="00132907"/>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04F"/>
    <w:rsid w:val="00147141"/>
    <w:rsid w:val="0014722D"/>
    <w:rsid w:val="00147B60"/>
    <w:rsid w:val="001500FE"/>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2A48"/>
    <w:rsid w:val="0017336D"/>
    <w:rsid w:val="00173F1A"/>
    <w:rsid w:val="00174052"/>
    <w:rsid w:val="001745CE"/>
    <w:rsid w:val="00174E84"/>
    <w:rsid w:val="001750A0"/>
    <w:rsid w:val="00175DCC"/>
    <w:rsid w:val="001762F3"/>
    <w:rsid w:val="001766D2"/>
    <w:rsid w:val="001768FA"/>
    <w:rsid w:val="001769A8"/>
    <w:rsid w:val="00177179"/>
    <w:rsid w:val="0017749D"/>
    <w:rsid w:val="001777D2"/>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984"/>
    <w:rsid w:val="00192DC6"/>
    <w:rsid w:val="00192F5C"/>
    <w:rsid w:val="00193C8F"/>
    <w:rsid w:val="00194013"/>
    <w:rsid w:val="001942E7"/>
    <w:rsid w:val="001945C8"/>
    <w:rsid w:val="00194A76"/>
    <w:rsid w:val="00194AAE"/>
    <w:rsid w:val="00194B60"/>
    <w:rsid w:val="001958ED"/>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930"/>
    <w:rsid w:val="001C2CCA"/>
    <w:rsid w:val="001C31C0"/>
    <w:rsid w:val="001C35C1"/>
    <w:rsid w:val="001C3788"/>
    <w:rsid w:val="001C3EFD"/>
    <w:rsid w:val="001C40E3"/>
    <w:rsid w:val="001C4657"/>
    <w:rsid w:val="001C5162"/>
    <w:rsid w:val="001C5290"/>
    <w:rsid w:val="001C59FE"/>
    <w:rsid w:val="001C5E6E"/>
    <w:rsid w:val="001C71FB"/>
    <w:rsid w:val="001C72A9"/>
    <w:rsid w:val="001C73A0"/>
    <w:rsid w:val="001C78A3"/>
    <w:rsid w:val="001D064C"/>
    <w:rsid w:val="001D0889"/>
    <w:rsid w:val="001D11E7"/>
    <w:rsid w:val="001D134B"/>
    <w:rsid w:val="001D15F7"/>
    <w:rsid w:val="001D223D"/>
    <w:rsid w:val="001D2802"/>
    <w:rsid w:val="001D2D53"/>
    <w:rsid w:val="001D34EA"/>
    <w:rsid w:val="001D39F8"/>
    <w:rsid w:val="001D3B02"/>
    <w:rsid w:val="001D46AE"/>
    <w:rsid w:val="001D47F4"/>
    <w:rsid w:val="001D5660"/>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5EBC"/>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B93"/>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3CA"/>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611"/>
    <w:rsid w:val="002B1D36"/>
    <w:rsid w:val="002B23F8"/>
    <w:rsid w:val="002B270E"/>
    <w:rsid w:val="002B3F94"/>
    <w:rsid w:val="002B45A9"/>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C79"/>
    <w:rsid w:val="002B7D64"/>
    <w:rsid w:val="002C02B3"/>
    <w:rsid w:val="002C0569"/>
    <w:rsid w:val="002C089B"/>
    <w:rsid w:val="002C1035"/>
    <w:rsid w:val="002C13AE"/>
    <w:rsid w:val="002C13E8"/>
    <w:rsid w:val="002C19FC"/>
    <w:rsid w:val="002C1A34"/>
    <w:rsid w:val="002C1FE4"/>
    <w:rsid w:val="002C273C"/>
    <w:rsid w:val="002C2A75"/>
    <w:rsid w:val="002C2B7F"/>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64A"/>
    <w:rsid w:val="002D2A80"/>
    <w:rsid w:val="002D2AB4"/>
    <w:rsid w:val="002D2D1D"/>
    <w:rsid w:val="002D3424"/>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829"/>
    <w:rsid w:val="002E3B71"/>
    <w:rsid w:val="002E42B6"/>
    <w:rsid w:val="002E4AF5"/>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69A2"/>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6950"/>
    <w:rsid w:val="00307DFA"/>
    <w:rsid w:val="0031041C"/>
    <w:rsid w:val="0031053E"/>
    <w:rsid w:val="003119B0"/>
    <w:rsid w:val="0031211F"/>
    <w:rsid w:val="0031266F"/>
    <w:rsid w:val="00312A7C"/>
    <w:rsid w:val="003134AD"/>
    <w:rsid w:val="00313761"/>
    <w:rsid w:val="00313889"/>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2FE6"/>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B45"/>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0B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64E"/>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3DC"/>
    <w:rsid w:val="003D44EC"/>
    <w:rsid w:val="003D46A9"/>
    <w:rsid w:val="003D4E8A"/>
    <w:rsid w:val="003D4F8B"/>
    <w:rsid w:val="003D5307"/>
    <w:rsid w:val="003D6672"/>
    <w:rsid w:val="003D66C9"/>
    <w:rsid w:val="003D70B4"/>
    <w:rsid w:val="003D70C8"/>
    <w:rsid w:val="003E00FF"/>
    <w:rsid w:val="003E07D5"/>
    <w:rsid w:val="003E0F81"/>
    <w:rsid w:val="003E11F5"/>
    <w:rsid w:val="003E1457"/>
    <w:rsid w:val="003E14F8"/>
    <w:rsid w:val="003E1BAD"/>
    <w:rsid w:val="003E240E"/>
    <w:rsid w:val="003E26E7"/>
    <w:rsid w:val="003E2FEB"/>
    <w:rsid w:val="003E329B"/>
    <w:rsid w:val="003E3AD8"/>
    <w:rsid w:val="003E3CE1"/>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0F5"/>
    <w:rsid w:val="003F014C"/>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6D9"/>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287"/>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7E1"/>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300"/>
    <w:rsid w:val="00473E66"/>
    <w:rsid w:val="00474212"/>
    <w:rsid w:val="004744DC"/>
    <w:rsid w:val="00474CD9"/>
    <w:rsid w:val="00475145"/>
    <w:rsid w:val="00475624"/>
    <w:rsid w:val="00475C60"/>
    <w:rsid w:val="00475F2F"/>
    <w:rsid w:val="00476141"/>
    <w:rsid w:val="00476168"/>
    <w:rsid w:val="0047672D"/>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74C"/>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556"/>
    <w:rsid w:val="0049762C"/>
    <w:rsid w:val="00497A43"/>
    <w:rsid w:val="00497A91"/>
    <w:rsid w:val="00497F76"/>
    <w:rsid w:val="004A007B"/>
    <w:rsid w:val="004A0129"/>
    <w:rsid w:val="004A0190"/>
    <w:rsid w:val="004A0DF7"/>
    <w:rsid w:val="004A0EB5"/>
    <w:rsid w:val="004A0EBB"/>
    <w:rsid w:val="004A1389"/>
    <w:rsid w:val="004A167F"/>
    <w:rsid w:val="004A1727"/>
    <w:rsid w:val="004A1C1F"/>
    <w:rsid w:val="004A226C"/>
    <w:rsid w:val="004A246B"/>
    <w:rsid w:val="004A2AD0"/>
    <w:rsid w:val="004A33A3"/>
    <w:rsid w:val="004A3B23"/>
    <w:rsid w:val="004A3FED"/>
    <w:rsid w:val="004A474E"/>
    <w:rsid w:val="004A4D43"/>
    <w:rsid w:val="004A54A4"/>
    <w:rsid w:val="004A5BD7"/>
    <w:rsid w:val="004A6286"/>
    <w:rsid w:val="004A641C"/>
    <w:rsid w:val="004A6F63"/>
    <w:rsid w:val="004A731E"/>
    <w:rsid w:val="004A7370"/>
    <w:rsid w:val="004B12E2"/>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9C9"/>
    <w:rsid w:val="004D0B71"/>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4DD2"/>
    <w:rsid w:val="004E515B"/>
    <w:rsid w:val="004E5182"/>
    <w:rsid w:val="004E60F4"/>
    <w:rsid w:val="004E6C3A"/>
    <w:rsid w:val="004E6D2C"/>
    <w:rsid w:val="004E6DDB"/>
    <w:rsid w:val="004E6EDB"/>
    <w:rsid w:val="004E7000"/>
    <w:rsid w:val="004E78B5"/>
    <w:rsid w:val="004E7A32"/>
    <w:rsid w:val="004E7A6C"/>
    <w:rsid w:val="004E7FB0"/>
    <w:rsid w:val="004F03F3"/>
    <w:rsid w:val="004F097C"/>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17ACF"/>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3F84"/>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CE1"/>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C69"/>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70"/>
    <w:rsid w:val="00590AEE"/>
    <w:rsid w:val="00591195"/>
    <w:rsid w:val="005912A5"/>
    <w:rsid w:val="005914CB"/>
    <w:rsid w:val="005916FB"/>
    <w:rsid w:val="00591BB6"/>
    <w:rsid w:val="00591BC1"/>
    <w:rsid w:val="00592C65"/>
    <w:rsid w:val="00593334"/>
    <w:rsid w:val="0059378B"/>
    <w:rsid w:val="00593EF8"/>
    <w:rsid w:val="00594B88"/>
    <w:rsid w:val="005952A7"/>
    <w:rsid w:val="0059548C"/>
    <w:rsid w:val="005956F6"/>
    <w:rsid w:val="0059591D"/>
    <w:rsid w:val="00595A22"/>
    <w:rsid w:val="00595C78"/>
    <w:rsid w:val="00595D1D"/>
    <w:rsid w:val="005965CD"/>
    <w:rsid w:val="00596A6E"/>
    <w:rsid w:val="00596B04"/>
    <w:rsid w:val="00596CEB"/>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4E84"/>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006"/>
    <w:rsid w:val="005D659F"/>
    <w:rsid w:val="005D65AD"/>
    <w:rsid w:val="005D6763"/>
    <w:rsid w:val="005D72DA"/>
    <w:rsid w:val="005D73FF"/>
    <w:rsid w:val="005D764F"/>
    <w:rsid w:val="005D7F05"/>
    <w:rsid w:val="005E0EAB"/>
    <w:rsid w:val="005E14EB"/>
    <w:rsid w:val="005E1D17"/>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BAA"/>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2AA"/>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748"/>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11D"/>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870"/>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11E"/>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6B48"/>
    <w:rsid w:val="006A09EE"/>
    <w:rsid w:val="006A0A3B"/>
    <w:rsid w:val="006A0EE1"/>
    <w:rsid w:val="006A1B45"/>
    <w:rsid w:val="006A1D29"/>
    <w:rsid w:val="006A2255"/>
    <w:rsid w:val="006A2FDA"/>
    <w:rsid w:val="006A30ED"/>
    <w:rsid w:val="006A3547"/>
    <w:rsid w:val="006A381E"/>
    <w:rsid w:val="006A384C"/>
    <w:rsid w:val="006A39C7"/>
    <w:rsid w:val="006A3CBF"/>
    <w:rsid w:val="006A3D28"/>
    <w:rsid w:val="006A4BB3"/>
    <w:rsid w:val="006A5BE5"/>
    <w:rsid w:val="006A60EE"/>
    <w:rsid w:val="006A60F2"/>
    <w:rsid w:val="006A614F"/>
    <w:rsid w:val="006A615A"/>
    <w:rsid w:val="006A69CB"/>
    <w:rsid w:val="006A6E33"/>
    <w:rsid w:val="006A71FE"/>
    <w:rsid w:val="006A72D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B06"/>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0FD9"/>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C40"/>
    <w:rsid w:val="00705D34"/>
    <w:rsid w:val="00706311"/>
    <w:rsid w:val="00706362"/>
    <w:rsid w:val="0070638A"/>
    <w:rsid w:val="007066EA"/>
    <w:rsid w:val="0070708F"/>
    <w:rsid w:val="00707769"/>
    <w:rsid w:val="007077B6"/>
    <w:rsid w:val="00707F4C"/>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F47"/>
    <w:rsid w:val="00717478"/>
    <w:rsid w:val="0071774E"/>
    <w:rsid w:val="00717CE4"/>
    <w:rsid w:val="007200F0"/>
    <w:rsid w:val="00720717"/>
    <w:rsid w:val="007209A3"/>
    <w:rsid w:val="007215EB"/>
    <w:rsid w:val="007216BB"/>
    <w:rsid w:val="00722328"/>
    <w:rsid w:val="007245FB"/>
    <w:rsid w:val="0072483E"/>
    <w:rsid w:val="00724CD7"/>
    <w:rsid w:val="00724E16"/>
    <w:rsid w:val="00724E6E"/>
    <w:rsid w:val="00724FE6"/>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971"/>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34"/>
    <w:rsid w:val="007461A5"/>
    <w:rsid w:val="007475B7"/>
    <w:rsid w:val="00747643"/>
    <w:rsid w:val="0074779E"/>
    <w:rsid w:val="007477CD"/>
    <w:rsid w:val="007503C3"/>
    <w:rsid w:val="00750C1C"/>
    <w:rsid w:val="0075101B"/>
    <w:rsid w:val="00751028"/>
    <w:rsid w:val="007510EB"/>
    <w:rsid w:val="007511DC"/>
    <w:rsid w:val="007512EA"/>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42A"/>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D5E"/>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5CC4"/>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4A2"/>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89"/>
    <w:rsid w:val="007C4DBF"/>
    <w:rsid w:val="007C5053"/>
    <w:rsid w:val="007C5AE2"/>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217"/>
    <w:rsid w:val="007E78A6"/>
    <w:rsid w:val="007F06F9"/>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54D"/>
    <w:rsid w:val="008177C6"/>
    <w:rsid w:val="00817B01"/>
    <w:rsid w:val="0082015C"/>
    <w:rsid w:val="0082050D"/>
    <w:rsid w:val="00821321"/>
    <w:rsid w:val="00821C4C"/>
    <w:rsid w:val="0082304B"/>
    <w:rsid w:val="00823348"/>
    <w:rsid w:val="00823A4D"/>
    <w:rsid w:val="0082411F"/>
    <w:rsid w:val="00824B95"/>
    <w:rsid w:val="00824C66"/>
    <w:rsid w:val="00824E09"/>
    <w:rsid w:val="00825622"/>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4A2F"/>
    <w:rsid w:val="0084597A"/>
    <w:rsid w:val="00845A1D"/>
    <w:rsid w:val="00846597"/>
    <w:rsid w:val="008468B6"/>
    <w:rsid w:val="00846B00"/>
    <w:rsid w:val="00846C74"/>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22B"/>
    <w:rsid w:val="00893404"/>
    <w:rsid w:val="00893734"/>
    <w:rsid w:val="00893E2D"/>
    <w:rsid w:val="00894097"/>
    <w:rsid w:val="00894DB9"/>
    <w:rsid w:val="008951E1"/>
    <w:rsid w:val="008957CE"/>
    <w:rsid w:val="0089594C"/>
    <w:rsid w:val="008963EF"/>
    <w:rsid w:val="00896F15"/>
    <w:rsid w:val="0089732D"/>
    <w:rsid w:val="0089760C"/>
    <w:rsid w:val="008A0667"/>
    <w:rsid w:val="008A0727"/>
    <w:rsid w:val="008A0940"/>
    <w:rsid w:val="008A0C47"/>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366"/>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3864"/>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A0A"/>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690"/>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143"/>
    <w:rsid w:val="009042E1"/>
    <w:rsid w:val="00904B85"/>
    <w:rsid w:val="00905833"/>
    <w:rsid w:val="00906019"/>
    <w:rsid w:val="0090660F"/>
    <w:rsid w:val="00906DA2"/>
    <w:rsid w:val="009071FB"/>
    <w:rsid w:val="00907A00"/>
    <w:rsid w:val="00907F64"/>
    <w:rsid w:val="0091029D"/>
    <w:rsid w:val="0091073A"/>
    <w:rsid w:val="00910879"/>
    <w:rsid w:val="00911B91"/>
    <w:rsid w:val="00911B9C"/>
    <w:rsid w:val="00912025"/>
    <w:rsid w:val="00912521"/>
    <w:rsid w:val="009128A3"/>
    <w:rsid w:val="009128A7"/>
    <w:rsid w:val="009129F2"/>
    <w:rsid w:val="0091314E"/>
    <w:rsid w:val="009139FF"/>
    <w:rsid w:val="00913EA4"/>
    <w:rsid w:val="00915910"/>
    <w:rsid w:val="009160C5"/>
    <w:rsid w:val="0091646A"/>
    <w:rsid w:val="00916776"/>
    <w:rsid w:val="00920056"/>
    <w:rsid w:val="009207FE"/>
    <w:rsid w:val="00921438"/>
    <w:rsid w:val="00922232"/>
    <w:rsid w:val="00922303"/>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293"/>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885"/>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26A"/>
    <w:rsid w:val="009A083C"/>
    <w:rsid w:val="009A0D10"/>
    <w:rsid w:val="009A0EE2"/>
    <w:rsid w:val="009A144F"/>
    <w:rsid w:val="009A1F4F"/>
    <w:rsid w:val="009A2C7E"/>
    <w:rsid w:val="009A2DA7"/>
    <w:rsid w:val="009A331D"/>
    <w:rsid w:val="009A370B"/>
    <w:rsid w:val="009A3D30"/>
    <w:rsid w:val="009A3D4F"/>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412"/>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CEB"/>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D7"/>
    <w:rsid w:val="00A50AF4"/>
    <w:rsid w:val="00A51014"/>
    <w:rsid w:val="00A51573"/>
    <w:rsid w:val="00A516B8"/>
    <w:rsid w:val="00A51A13"/>
    <w:rsid w:val="00A51DA8"/>
    <w:rsid w:val="00A51E51"/>
    <w:rsid w:val="00A51ECF"/>
    <w:rsid w:val="00A52913"/>
    <w:rsid w:val="00A53210"/>
    <w:rsid w:val="00A536AF"/>
    <w:rsid w:val="00A539EB"/>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643"/>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8EE"/>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5F46"/>
    <w:rsid w:val="00A86607"/>
    <w:rsid w:val="00A8679F"/>
    <w:rsid w:val="00A86F0E"/>
    <w:rsid w:val="00A878F9"/>
    <w:rsid w:val="00A87D1B"/>
    <w:rsid w:val="00A90568"/>
    <w:rsid w:val="00A91763"/>
    <w:rsid w:val="00A9194C"/>
    <w:rsid w:val="00A91D05"/>
    <w:rsid w:val="00A92A61"/>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4AD"/>
    <w:rsid w:val="00AA670E"/>
    <w:rsid w:val="00AA676A"/>
    <w:rsid w:val="00AA69B3"/>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087B"/>
    <w:rsid w:val="00AC133E"/>
    <w:rsid w:val="00AC1415"/>
    <w:rsid w:val="00AC1C83"/>
    <w:rsid w:val="00AC1DB1"/>
    <w:rsid w:val="00AC2338"/>
    <w:rsid w:val="00AC277F"/>
    <w:rsid w:val="00AC2F85"/>
    <w:rsid w:val="00AC3B49"/>
    <w:rsid w:val="00AC3FA1"/>
    <w:rsid w:val="00AC4139"/>
    <w:rsid w:val="00AC4855"/>
    <w:rsid w:val="00AC4F24"/>
    <w:rsid w:val="00AC53F0"/>
    <w:rsid w:val="00AC565C"/>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153"/>
    <w:rsid w:val="00AF3D25"/>
    <w:rsid w:val="00AF50FF"/>
    <w:rsid w:val="00AF5185"/>
    <w:rsid w:val="00AF533B"/>
    <w:rsid w:val="00AF5E22"/>
    <w:rsid w:val="00AF5F7A"/>
    <w:rsid w:val="00AF6A4A"/>
    <w:rsid w:val="00AF77F6"/>
    <w:rsid w:val="00AF7AB9"/>
    <w:rsid w:val="00AF7FD7"/>
    <w:rsid w:val="00B004A4"/>
    <w:rsid w:val="00B008AC"/>
    <w:rsid w:val="00B00DA6"/>
    <w:rsid w:val="00B01269"/>
    <w:rsid w:val="00B01309"/>
    <w:rsid w:val="00B0144E"/>
    <w:rsid w:val="00B015E4"/>
    <w:rsid w:val="00B01604"/>
    <w:rsid w:val="00B01756"/>
    <w:rsid w:val="00B01B58"/>
    <w:rsid w:val="00B01B81"/>
    <w:rsid w:val="00B0257E"/>
    <w:rsid w:val="00B02AEE"/>
    <w:rsid w:val="00B03701"/>
    <w:rsid w:val="00B0441A"/>
    <w:rsid w:val="00B04DFB"/>
    <w:rsid w:val="00B04E57"/>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45"/>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C1E"/>
    <w:rsid w:val="00B263B3"/>
    <w:rsid w:val="00B26540"/>
    <w:rsid w:val="00B269AD"/>
    <w:rsid w:val="00B26D2C"/>
    <w:rsid w:val="00B26F9C"/>
    <w:rsid w:val="00B27393"/>
    <w:rsid w:val="00B307C0"/>
    <w:rsid w:val="00B30C90"/>
    <w:rsid w:val="00B31095"/>
    <w:rsid w:val="00B316A1"/>
    <w:rsid w:val="00B3211B"/>
    <w:rsid w:val="00B33F1D"/>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923"/>
    <w:rsid w:val="00B45BB7"/>
    <w:rsid w:val="00B4601B"/>
    <w:rsid w:val="00B46913"/>
    <w:rsid w:val="00B46943"/>
    <w:rsid w:val="00B47309"/>
    <w:rsid w:val="00B47812"/>
    <w:rsid w:val="00B50B42"/>
    <w:rsid w:val="00B50E2F"/>
    <w:rsid w:val="00B517EA"/>
    <w:rsid w:val="00B51E7B"/>
    <w:rsid w:val="00B5201F"/>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294"/>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77D"/>
    <w:rsid w:val="00BA104E"/>
    <w:rsid w:val="00BA1296"/>
    <w:rsid w:val="00BA1355"/>
    <w:rsid w:val="00BA1746"/>
    <w:rsid w:val="00BA179F"/>
    <w:rsid w:val="00BA17D0"/>
    <w:rsid w:val="00BA1F90"/>
    <w:rsid w:val="00BA2006"/>
    <w:rsid w:val="00BA2314"/>
    <w:rsid w:val="00BA2466"/>
    <w:rsid w:val="00BA2645"/>
    <w:rsid w:val="00BA2708"/>
    <w:rsid w:val="00BA4ED5"/>
    <w:rsid w:val="00BA517D"/>
    <w:rsid w:val="00BA51DB"/>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549D"/>
    <w:rsid w:val="00BD6B2F"/>
    <w:rsid w:val="00BD76DA"/>
    <w:rsid w:val="00BD79BE"/>
    <w:rsid w:val="00BD7D0F"/>
    <w:rsid w:val="00BE0087"/>
    <w:rsid w:val="00BE00B2"/>
    <w:rsid w:val="00BE056B"/>
    <w:rsid w:val="00BE0D93"/>
    <w:rsid w:val="00BE174A"/>
    <w:rsid w:val="00BE268B"/>
    <w:rsid w:val="00BE2975"/>
    <w:rsid w:val="00BE3035"/>
    <w:rsid w:val="00BE3A37"/>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1D3B"/>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2FC"/>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3C19"/>
    <w:rsid w:val="00C84519"/>
    <w:rsid w:val="00C847FA"/>
    <w:rsid w:val="00C84FED"/>
    <w:rsid w:val="00C86430"/>
    <w:rsid w:val="00C8647A"/>
    <w:rsid w:val="00C86516"/>
    <w:rsid w:val="00C86B61"/>
    <w:rsid w:val="00C87581"/>
    <w:rsid w:val="00C8777C"/>
    <w:rsid w:val="00C87CA0"/>
    <w:rsid w:val="00C87F39"/>
    <w:rsid w:val="00C900A1"/>
    <w:rsid w:val="00C90167"/>
    <w:rsid w:val="00C9067B"/>
    <w:rsid w:val="00C90987"/>
    <w:rsid w:val="00C90A24"/>
    <w:rsid w:val="00C916E2"/>
    <w:rsid w:val="00C91A42"/>
    <w:rsid w:val="00C924BB"/>
    <w:rsid w:val="00C926CD"/>
    <w:rsid w:val="00C92DA5"/>
    <w:rsid w:val="00C92E17"/>
    <w:rsid w:val="00C93CF4"/>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A0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692"/>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75"/>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32A"/>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0A98"/>
    <w:rsid w:val="00D20C1F"/>
    <w:rsid w:val="00D215DE"/>
    <w:rsid w:val="00D21666"/>
    <w:rsid w:val="00D21812"/>
    <w:rsid w:val="00D2215C"/>
    <w:rsid w:val="00D22981"/>
    <w:rsid w:val="00D22E4F"/>
    <w:rsid w:val="00D2321D"/>
    <w:rsid w:val="00D2329D"/>
    <w:rsid w:val="00D23787"/>
    <w:rsid w:val="00D2427A"/>
    <w:rsid w:val="00D242B5"/>
    <w:rsid w:val="00D251FD"/>
    <w:rsid w:val="00D25287"/>
    <w:rsid w:val="00D2618B"/>
    <w:rsid w:val="00D2641C"/>
    <w:rsid w:val="00D26E53"/>
    <w:rsid w:val="00D271E5"/>
    <w:rsid w:val="00D272B2"/>
    <w:rsid w:val="00D27319"/>
    <w:rsid w:val="00D27BB1"/>
    <w:rsid w:val="00D30018"/>
    <w:rsid w:val="00D30268"/>
    <w:rsid w:val="00D30F2D"/>
    <w:rsid w:val="00D31649"/>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1D5"/>
    <w:rsid w:val="00D50585"/>
    <w:rsid w:val="00D517A7"/>
    <w:rsid w:val="00D5184A"/>
    <w:rsid w:val="00D51E2C"/>
    <w:rsid w:val="00D524D5"/>
    <w:rsid w:val="00D52CB8"/>
    <w:rsid w:val="00D531B1"/>
    <w:rsid w:val="00D53546"/>
    <w:rsid w:val="00D53839"/>
    <w:rsid w:val="00D538E3"/>
    <w:rsid w:val="00D539F2"/>
    <w:rsid w:val="00D53BEF"/>
    <w:rsid w:val="00D53CFA"/>
    <w:rsid w:val="00D53EA4"/>
    <w:rsid w:val="00D54D10"/>
    <w:rsid w:val="00D54DD2"/>
    <w:rsid w:val="00D54E8A"/>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7CA7"/>
    <w:rsid w:val="00D716F8"/>
    <w:rsid w:val="00D719F8"/>
    <w:rsid w:val="00D71DC9"/>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69"/>
    <w:rsid w:val="00D87DF9"/>
    <w:rsid w:val="00D87E90"/>
    <w:rsid w:val="00D87F1F"/>
    <w:rsid w:val="00D9145B"/>
    <w:rsid w:val="00D918EF"/>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5CAD"/>
    <w:rsid w:val="00DB63E7"/>
    <w:rsid w:val="00DB675D"/>
    <w:rsid w:val="00DB7D08"/>
    <w:rsid w:val="00DC08E1"/>
    <w:rsid w:val="00DC13B6"/>
    <w:rsid w:val="00DC1556"/>
    <w:rsid w:val="00DC1FAB"/>
    <w:rsid w:val="00DC2841"/>
    <w:rsid w:val="00DC2ADA"/>
    <w:rsid w:val="00DC2DAE"/>
    <w:rsid w:val="00DC2DF5"/>
    <w:rsid w:val="00DC30B9"/>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986"/>
    <w:rsid w:val="00DD2C2C"/>
    <w:rsid w:val="00DD2C71"/>
    <w:rsid w:val="00DD3B94"/>
    <w:rsid w:val="00DD3FEB"/>
    <w:rsid w:val="00DD4952"/>
    <w:rsid w:val="00DD53FC"/>
    <w:rsid w:val="00DD6100"/>
    <w:rsid w:val="00DD6E56"/>
    <w:rsid w:val="00DD7311"/>
    <w:rsid w:val="00DD74BB"/>
    <w:rsid w:val="00DD78D1"/>
    <w:rsid w:val="00DD791E"/>
    <w:rsid w:val="00DD7D99"/>
    <w:rsid w:val="00DD7FB2"/>
    <w:rsid w:val="00DE04B5"/>
    <w:rsid w:val="00DE0931"/>
    <w:rsid w:val="00DE0BD4"/>
    <w:rsid w:val="00DE0F3F"/>
    <w:rsid w:val="00DE123D"/>
    <w:rsid w:val="00DE2576"/>
    <w:rsid w:val="00DE2ACB"/>
    <w:rsid w:val="00DE2BDF"/>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17CCB"/>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32"/>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B5A"/>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D4E"/>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DC"/>
    <w:rsid w:val="00E745E9"/>
    <w:rsid w:val="00E74644"/>
    <w:rsid w:val="00E749E2"/>
    <w:rsid w:val="00E74E1E"/>
    <w:rsid w:val="00E74E26"/>
    <w:rsid w:val="00E75213"/>
    <w:rsid w:val="00E75522"/>
    <w:rsid w:val="00E757C4"/>
    <w:rsid w:val="00E75952"/>
    <w:rsid w:val="00E75955"/>
    <w:rsid w:val="00E75969"/>
    <w:rsid w:val="00E75972"/>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AFD"/>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849"/>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2D1"/>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5D42"/>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433"/>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B77"/>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296"/>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8D3"/>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87D"/>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DC2"/>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BF8"/>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8388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5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Emphasis-Bold">
    <w:name w:val="Emphasis - Bold"/>
    <w:qFormat/>
    <w:rsid w:val="00B01309"/>
    <w:rPr>
      <w:rFonts w:ascii="Arial" w:hAnsi="Arial" w:cs="Arial"/>
      <w:b/>
      <w:color w:val="000000"/>
    </w:rPr>
  </w:style>
  <w:style w:type="paragraph" w:customStyle="1" w:styleId="Indent-05hangingPM">
    <w:name w:val="Indent - 0.5 hanging (PM)"/>
    <w:basedOn w:val="Normal"/>
    <w:qFormat/>
    <w:rsid w:val="00B01309"/>
    <w:pPr>
      <w:tabs>
        <w:tab w:val="left" w:pos="284"/>
        <w:tab w:val="left" w:pos="567"/>
      </w:tabs>
      <w:spacing w:before="100" w:after="100" w:line="260" w:lineRule="atLeast"/>
      <w:ind w:left="284" w:hanging="284"/>
    </w:pPr>
    <w:rPr>
      <w:rFonts w:ascii="Arial" w:eastAsiaTheme="majorEastAsia" w:hAnsi="Arial"/>
      <w:color w:val="1C1C1C"/>
      <w:sz w:val="18"/>
      <w:szCs w:val="18"/>
    </w:rPr>
  </w:style>
  <w:style w:type="character" w:customStyle="1" w:styleId="Emphasis-Italics">
    <w:name w:val="Emphasis - Italics"/>
    <w:qFormat/>
    <w:rsid w:val="004D0B71"/>
    <w:rPr>
      <w:i/>
    </w:rPr>
  </w:style>
  <w:style w:type="character" w:customStyle="1" w:styleId="Blue-Bold">
    <w:name w:val="Blue - Bold"/>
    <w:qFormat/>
    <w:rsid w:val="00001645"/>
    <w:rPr>
      <w:b/>
      <w:color w:val="1F497D"/>
    </w:rPr>
  </w:style>
  <w:style w:type="paragraph" w:customStyle="1" w:styleId="AppendixHeading">
    <w:name w:val="Appendix Heading"/>
    <w:basedOn w:val="Heading1"/>
    <w:next w:val="Normal"/>
    <w:rsid w:val="009A0D10"/>
    <w:pPr>
      <w:keepLines/>
      <w:framePr w:w="0" w:hRule="auto" w:hSpace="0" w:wrap="auto" w:vAnchor="margin" w:hAnchor="text" w:xAlign="left" w:yAlign="inline" w:anchorLock="0"/>
      <w:shd w:val="clear" w:color="auto" w:fill="auto"/>
      <w:tabs>
        <w:tab w:val="left" w:pos="567"/>
      </w:tabs>
      <w:spacing w:before="300" w:after="120" w:line="228" w:lineRule="auto"/>
    </w:pPr>
    <w:rPr>
      <w:rFonts w:ascii="Arial" w:eastAsia="Times New Roman" w:hAnsi="Arial" w:cs="Arial"/>
      <w:b w:val="0"/>
      <w:bCs w:val="0"/>
      <w:color w:val="00548E"/>
      <w:spacing w:val="0"/>
      <w:sz w:val="36"/>
      <w:szCs w:val="28"/>
    </w:rPr>
  </w:style>
  <w:style w:type="character" w:styleId="Mention">
    <w:name w:val="Mention"/>
    <w:basedOn w:val="DefaultParagraphFont"/>
    <w:uiPriority w:val="99"/>
    <w:unhideWhenUsed/>
    <w:rsid w:val="00F678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www.deeca.vic.gov.au/boards-and-governance/performance-assessment" TargetMode="External"/><Relationship Id="rId39" Type="http://schemas.openxmlformats.org/officeDocument/2006/relationships/footer" Target="footer6.xml"/><Relationship Id="rId21" Type="http://schemas.openxmlformats.org/officeDocument/2006/relationships/image" Target="media/image3.png"/><Relationship Id="rId34" Type="http://schemas.openxmlformats.org/officeDocument/2006/relationships/hyperlink" Target="mailto:customer.service@delwp.vic.gov.au"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3.xml"/><Relationship Id="rId29" Type="http://schemas.openxmlformats.org/officeDocument/2006/relationships/hyperlink" Target="https://www.boards.vic.gov.au/assessing-public-board-performance"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deeca.vic.gov.au/boards-and-governance/induction-and-continuing-education" TargetMode="External"/><Relationship Id="rId32" Type="http://schemas.openxmlformats.org/officeDocument/2006/relationships/hyperlink" Target="http://creativecommons.org/licenses/by/4.0/"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deeca.vic.gov.au/boards-and-governance/induction-and-continuing-education" TargetMode="External"/><Relationship Id="rId28" Type="http://schemas.openxmlformats.org/officeDocument/2006/relationships/hyperlink" Target="https://www.boards.vic.gov.au/" TargetMode="External"/><Relationship Id="rId36" Type="http://schemas.openxmlformats.org/officeDocument/2006/relationships/header" Target="header2.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vpsc.vic.gov.au/ethics-behaviours-culture/codes-of-conduct/code-of-conduct-for-directors-of-victorian-public-entities/" TargetMode="External"/><Relationship Id="rId27" Type="http://schemas.openxmlformats.org/officeDocument/2006/relationships/hyperlink" Target="http://www.ombudsman.vic.gov.au" TargetMode="External"/><Relationship Id="rId30" Type="http://schemas.openxmlformats.org/officeDocument/2006/relationships/hyperlink" Target="https://vpsc.vic.gov.au/ethics-behaviours-culture/codes-of-conduct/code-of-conduct-for-directors-of-victorian-public-entities/" TargetMode="External"/><Relationship Id="rId35" Type="http://schemas.openxmlformats.org/officeDocument/2006/relationships/hyperlink" Target="http://www.deeca.vic.gov.au/"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https://www.deeca.vic.gov.au/boards-and-governance/on-board" TargetMode="External"/><Relationship Id="rId33" Type="http://schemas.openxmlformats.org/officeDocument/2006/relationships/hyperlink" Target="http://creativecommons.org/licenses/by/4.0/" TargetMode="External"/><Relationship Id="rId38"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guidelines-appointment-remuner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0464D487D34CE3A50701E9A45FE398"/>
        <w:category>
          <w:name w:val="General"/>
          <w:gallery w:val="placeholder"/>
        </w:category>
        <w:types>
          <w:type w:val="bbPlcHdr"/>
        </w:types>
        <w:behaviors>
          <w:behavior w:val="content"/>
        </w:behaviors>
        <w:guid w:val="{24A55EF2-38AC-42B0-B5FF-849177EF85FE}"/>
      </w:docPartPr>
      <w:docPartBody>
        <w:p w:rsidR="00A70283" w:rsidRDefault="00AE1041">
          <w:pPr>
            <w:pStyle w:val="780464D487D34CE3A50701E9A45FE398"/>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F823EB699A3B4D42BC5BFC88DD6B87BB"/>
        <w:category>
          <w:name w:val="General"/>
          <w:gallery w:val="placeholder"/>
        </w:category>
        <w:types>
          <w:type w:val="bbPlcHdr"/>
        </w:types>
        <w:behaviors>
          <w:behavior w:val="content"/>
        </w:behaviors>
        <w:guid w:val="{6643F54E-D8EF-4BBA-BCBA-050B9C645740}"/>
      </w:docPartPr>
      <w:docPartBody>
        <w:p w:rsidR="00A70283" w:rsidRDefault="00AE1041">
          <w:pPr>
            <w:pStyle w:val="F823EB699A3B4D42BC5BFC88DD6B87BB"/>
          </w:pPr>
          <w:r w:rsidRPr="0093481A">
            <w:rPr>
              <w:rStyle w:val="PlaceholderText"/>
            </w:rPr>
            <w:t>Insert title here</w:t>
          </w:r>
        </w:p>
      </w:docPartBody>
    </w:docPart>
    <w:docPart>
      <w:docPartPr>
        <w:name w:val="1808BBB19560439E89246340C3E55615"/>
        <w:category>
          <w:name w:val="General"/>
          <w:gallery w:val="placeholder"/>
        </w:category>
        <w:types>
          <w:type w:val="bbPlcHdr"/>
        </w:types>
        <w:behaviors>
          <w:behavior w:val="content"/>
        </w:behaviors>
        <w:guid w:val="{999BE008-25EB-44F8-AC57-945D9981CB26}"/>
      </w:docPartPr>
      <w:docPartBody>
        <w:p w:rsidR="00A70283" w:rsidRDefault="00AE1041">
          <w:pPr>
            <w:pStyle w:val="1808BBB19560439E89246340C3E55615"/>
          </w:pPr>
          <w:r w:rsidRPr="0093481A">
            <w:rPr>
              <w:rStyle w:val="PlaceholderText"/>
            </w:rPr>
            <w:t>Insert title here</w:t>
          </w:r>
        </w:p>
      </w:docPartBody>
    </w:docPart>
    <w:docPart>
      <w:docPartPr>
        <w:name w:val="D5B995CBCDE745CF9512A324B8512377"/>
        <w:category>
          <w:name w:val="General"/>
          <w:gallery w:val="placeholder"/>
        </w:category>
        <w:types>
          <w:type w:val="bbPlcHdr"/>
        </w:types>
        <w:behaviors>
          <w:behavior w:val="content"/>
        </w:behaviors>
        <w:guid w:val="{F80A19D0-B1C3-41AC-9F8E-BE376F875DCF}"/>
      </w:docPartPr>
      <w:docPartBody>
        <w:p w:rsidR="00A70283" w:rsidRDefault="00AE1041">
          <w:pPr>
            <w:pStyle w:val="D5B995CBCDE745CF9512A324B8512377"/>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6C"/>
    <w:rsid w:val="0000387E"/>
    <w:rsid w:val="00015328"/>
    <w:rsid w:val="000F11A4"/>
    <w:rsid w:val="00306950"/>
    <w:rsid w:val="00316DF8"/>
    <w:rsid w:val="003620BD"/>
    <w:rsid w:val="003F123D"/>
    <w:rsid w:val="00467C4D"/>
    <w:rsid w:val="005E14EB"/>
    <w:rsid w:val="00624653"/>
    <w:rsid w:val="00627748"/>
    <w:rsid w:val="006C7E9D"/>
    <w:rsid w:val="007B34A2"/>
    <w:rsid w:val="007C5AE2"/>
    <w:rsid w:val="007E1B54"/>
    <w:rsid w:val="008554DC"/>
    <w:rsid w:val="009A026A"/>
    <w:rsid w:val="00A70283"/>
    <w:rsid w:val="00AE1041"/>
    <w:rsid w:val="00AF3153"/>
    <w:rsid w:val="00B01756"/>
    <w:rsid w:val="00CD1692"/>
    <w:rsid w:val="00D27538"/>
    <w:rsid w:val="00D67CA7"/>
    <w:rsid w:val="00E746AF"/>
    <w:rsid w:val="00F23185"/>
    <w:rsid w:val="00FE1BF8"/>
    <w:rsid w:val="00FF2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246C"/>
    <w:rPr>
      <w:color w:val="auto"/>
      <w:bdr w:val="none" w:sz="0" w:space="0" w:color="auto"/>
      <w:shd w:val="clear" w:color="auto" w:fill="FFFF00"/>
    </w:rPr>
  </w:style>
  <w:style w:type="paragraph" w:customStyle="1" w:styleId="780464D487D34CE3A50701E9A45FE398">
    <w:name w:val="780464D487D34CE3A50701E9A45FE398"/>
  </w:style>
  <w:style w:type="paragraph" w:customStyle="1" w:styleId="F823EB699A3B4D42BC5BFC88DD6B87BB">
    <w:name w:val="F823EB699A3B4D42BC5BFC88DD6B87BB"/>
  </w:style>
  <w:style w:type="paragraph" w:customStyle="1" w:styleId="1808BBB19560439E89246340C3E55615">
    <w:name w:val="1808BBB19560439E89246340C3E55615"/>
  </w:style>
  <w:style w:type="paragraph" w:customStyle="1" w:styleId="D5B995CBCDE745CF9512A324B8512377">
    <w:name w:val="D5B995CBCDE745CF9512A324B8512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Corparte Theme">
  <a:themeElements>
    <a:clrScheme name="Custom 16">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tandard Operating Procedure" ma:contentTypeID="0x0101002517F445A0F35E449C98AAD631F2B0383500002F78B235449D4796B05D8B37E1634C" ma:contentTypeVersion="120" ma:contentTypeDescription="" ma:contentTypeScope="" ma:versionID="6bf97b9a1d1e8c8f04c54b477c767d20">
  <xsd:schema xmlns:xsd="http://www.w3.org/2001/XMLSchema" xmlns:xs="http://www.w3.org/2001/XMLSchema" xmlns:p="http://schemas.microsoft.com/office/2006/metadata/properties" xmlns:ns1="http://schemas.microsoft.com/sharepoint/v3" xmlns:ns2="a5f32de4-e402-4188-b034-e71ca7d22e54" xmlns:ns3="9fd47c19-1c4a-4d7d-b342-c10cef269344" xmlns:ns4="http://schemas.microsoft.com/sharepoint/v3/fields" xmlns:ns5="9f316530-3048-4e07-8e45-0e87c16644c0" xmlns:ns6="dec49823-2944-4274-beff-147767d30e19" targetNamespace="http://schemas.microsoft.com/office/2006/metadata/properties" ma:root="true" ma:fieldsID="3fd678385786723abd5cc02dbae75102" ns1:_="" ns2:_="" ns3:_="" ns4:_="" ns5:_="" ns6:_="">
    <xsd:import namespace="http://schemas.microsoft.com/sharepoint/v3"/>
    <xsd:import namespace="a5f32de4-e402-4188-b034-e71ca7d22e54"/>
    <xsd:import namespace="9fd47c19-1c4a-4d7d-b342-c10cef269344"/>
    <xsd:import namespace="http://schemas.microsoft.com/sharepoint/v3/fields"/>
    <xsd:import namespace="9f316530-3048-4e07-8e45-0e87c16644c0"/>
    <xsd:import namespace="dec49823-2944-4274-beff-147767d30e19"/>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_Status" minOccurs="0"/>
                <xsd:element ref="ns2:Originating_x0020_Author" minOccurs="0"/>
                <xsd:element ref="ns2:Review_x0020_Date" minOccurs="0"/>
                <xsd:element ref="ns5:Lex_x0020_ID_x0020_number"/>
                <xsd:element ref="ns6:MediaServiceKeyPoints" minOccurs="0"/>
                <xsd:element ref="ns5:Type_x0020_of_x0020_Work" minOccurs="0"/>
                <xsd:element ref="ns6:MediaServiceAutoKeyPoints" minOccurs="0"/>
                <xsd:element ref="ns6:MediaServiceAutoTags" minOccurs="0"/>
                <xsd:element ref="ns6:MediaServiceOCR"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nillable="true" ma:displayName="Language" ma:default="English" ma:internalName="Languag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Originating_x0020_Author" ma:index="32"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cc2de454-c8cc-41fe-bb61-0f8dc6f93a64}" ma:internalName="TaxCatchAll" ma:showField="CatchAllData"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cc2de454-c8cc-41fe-bb61-0f8dc6f93a64}" ma:internalName="TaxCatchAllLabel" ma:readOnly="true" ma:showField="CatchAllDataLabel"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Legal Services|2a2f70da-7efa-4af9-8e32-72af9ec94e35"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1" nillable="true" ma:displayName="Status" ma:default="Not Started" ma:internalName="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316530-3048-4e07-8e45-0e87c16644c0" elementFormDefault="qualified">
    <xsd:import namespace="http://schemas.microsoft.com/office/2006/documentManagement/types"/>
    <xsd:import namespace="http://schemas.microsoft.com/office/infopath/2007/PartnerControls"/>
    <xsd:element name="Lex_x0020_ID_x0020_number" ma:index="34" ma:displayName="Lex ID number" ma:internalName="Lex_x0020_ID_x0020_number" ma:readOnly="false">
      <xsd:simpleType>
        <xsd:restriction base="dms:Text">
          <xsd:maxLength value="255"/>
        </xsd:restriction>
      </xsd:simpleType>
    </xsd:element>
    <xsd:element name="Type_x0020_of_x0020_Work" ma:index="36" nillable="true" ma:displayName="Type of Work" ma:format="Dropdown" ma:internalName="Type_x0020_of_x0020_Work">
      <xsd:simpleType>
        <xsd:union memberTypes="dms:Text">
          <xsd:simpleType>
            <xsd:restriction base="dms:Choice">
              <xsd:enumeration value="Data/database"/>
              <xsd:enumeration value="Fact Sheet"/>
              <xsd:enumeration value="Flowchart/diagram"/>
              <xsd:enumeration value="Guidance"/>
              <xsd:enumeration value="Guideline"/>
              <xsd:enumeration value="Interactive tool"/>
              <xsd:enumeration value="Letter"/>
              <xsd:enumeration value="List"/>
              <xsd:enumeration value="Model Report"/>
              <xsd:enumeration value="Report"/>
              <xsd:enumeration value="Presentation"/>
              <xsd:enumeration value="Standing Dir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c49823-2944-4274-beff-147767d30e19" elementFormDefault="qualified">
    <xsd:import namespace="http://schemas.microsoft.com/office/2006/documentManagement/types"/>
    <xsd:import namespace="http://schemas.microsoft.com/office/infopath/2007/PartnerControls"/>
    <xsd:element name="MediaServiceKeyPoints" ma:index="35" nillable="true" ma:displayName="KeyPoints" ma:internalName="MediaServiceKeyPoints"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/sites/ecm_228/Guidance Material</xsnScope>
</customXsn>
</file>

<file path=customXml/item5.xml><?xml version="1.0" encoding="utf-8"?>
<?mso-contentType ?>
<SharedContentType xmlns="Microsoft.SharePoint.Taxonomy.ContentTypeSync" SourceId="3452d580-73c1-4b2b-acb3-3600a17877a9" ContentTypeId="0x0101002517F445A0F35E449C98AAD631F2B03835" PreviousValue="false"/>
</file>

<file path=customXml/item6.xml><?xml version="1.0" encoding="utf-8"?>
<p:properties xmlns:p="http://schemas.microsoft.com/office/2006/metadata/properties" xmlns:xsi="http://www.w3.org/2001/XMLSchema-instance" xmlns:pc="http://schemas.microsoft.com/office/infopath/2007/PartnerControls">
  <documentManagement>
    <a25c4e3633654d669cbaa09ae6b70789 xmlns="9fd47c19-1c4a-4d7d-b342-c10cef269344">
      <Terms xmlns="http://schemas.microsoft.com/office/infopath/2007/PartnerControls"/>
    </a25c4e3633654d669cbaa09ae6b70789>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_dlc_DocId xmlns="a5f32de4-e402-4188-b034-e71ca7d22e54">DOCID228-1002335224-2368</_dlc_DocId>
    <Type_x0020_of_x0020_Work xmlns="9f316530-3048-4e07-8e45-0e87c16644c0" xsi:nil="true"/>
    <Review_x0020_Date xmlns="a5f32de4-e402-4188-b034-e71ca7d22e54" xsi:nil="true"/>
    <RoutingRuleDescription xmlns="http://schemas.microsoft.com/sharepoint/v3" xsi:nil="true"/>
    <k1bd994a94c2413797db3bab8f123f6f xmlns="9fd47c19-1c4a-4d7d-b342-c10cef269344">
      <Terms xmlns="http://schemas.microsoft.com/office/infopath/2007/PartnerControls"/>
    </k1bd994a94c2413797db3bab8f123f6f>
    <Originating_x0020_Author xmlns="a5f32de4-e402-4188-b034-e71ca7d22e54" xsi:nil="true"/>
    <Language xmlns="http://schemas.microsoft.com/sharepoint/v3">English</Language>
    <lcf76f155ced4ddcb4097134ff3c332f xmlns="dec49823-2944-4274-beff-147767d30e19">
      <Terms xmlns="http://schemas.microsoft.com/office/infopath/2007/PartnerControls"/>
    </lcf76f155ced4ddcb4097134ff3c332f>
    <TaxCatchAll xmlns="9fd47c19-1c4a-4d7d-b342-c10cef269344">
      <Value>2</Value>
      <Value>199</Value>
      <Value>59</Value>
      <Value>7</Value>
      <Value>5</Value>
      <Value>36</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Status xmlns="http://schemas.microsoft.com/sharepoint/v3/fields">Not Started</_Status>
    <Lex_x0020_ID_x0020_number xmlns="9f316530-3048-4e07-8e45-0e87c16644c0">n/a</Lex_x0020_ID_x0020_number>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Strategy and Performance</TermName>
          <TermId xmlns="http://schemas.microsoft.com/office/infopath/2007/PartnerControls">94e14022-adcf-4c64-ac06-14f905c87fe8</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https://delwpvicgovau.sharepoint.com/sites/ecm_228/_layouts/15/DocIdRedir.aspx?ID=DOCID228-1002335224-2368</Url>
      <Description>DOCID228-1002335224-2368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B7FD59-8D3A-4D7F-9BD0-0E1786A9F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sharepoint/v3/fields"/>
    <ds:schemaRef ds:uri="9f316530-3048-4e07-8e45-0e87c16644c0"/>
    <ds:schemaRef ds:uri="dec49823-2944-4274-beff-147767d30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774CB-B0E1-4ADB-A7DA-C03F1386EF86}">
  <ds:schemaRefs>
    <ds:schemaRef ds:uri="http://schemas.microsoft.com/sharepoint/events"/>
  </ds:schemaRefs>
</ds:datastoreItem>
</file>

<file path=customXml/itemProps4.xml><?xml version="1.0" encoding="utf-8"?>
<ds:datastoreItem xmlns:ds="http://schemas.openxmlformats.org/officeDocument/2006/customXml" ds:itemID="{273E19F3-B539-4E8C-9ADE-AE987E65EF6B}">
  <ds:schemaRefs>
    <ds:schemaRef ds:uri="http://schemas.microsoft.com/office/2006/metadata/customXsn"/>
  </ds:schemaRefs>
</ds:datastoreItem>
</file>

<file path=customXml/itemProps5.xml><?xml version="1.0" encoding="utf-8"?>
<ds:datastoreItem xmlns:ds="http://schemas.openxmlformats.org/officeDocument/2006/customXml" ds:itemID="{6E6B7B58-4F1D-46E0-81CF-1B22364CDF3B}">
  <ds:schemaRefs>
    <ds:schemaRef ds:uri="Microsoft.SharePoint.Taxonomy.ContentTypeSync"/>
  </ds:schemaRefs>
</ds:datastoreItem>
</file>

<file path=customXml/itemProps6.xml><?xml version="1.0" encoding="utf-8"?>
<ds:datastoreItem xmlns:ds="http://schemas.openxmlformats.org/officeDocument/2006/customXml" ds:itemID="{4B5A6EC4-D105-4549-BA94-17B56CEC838D}">
  <ds:schemaRefs>
    <ds:schemaRef ds:uri="http://schemas.microsoft.com/sharepoint/v3/fields"/>
    <ds:schemaRef ds:uri="9fd47c19-1c4a-4d7d-b342-c10cef269344"/>
    <ds:schemaRef ds:uri="http://purl.org/dc/elements/1.1/"/>
    <ds:schemaRef ds:uri="http://schemas.openxmlformats.org/package/2006/metadata/core-properties"/>
    <ds:schemaRef ds:uri="http://schemas.microsoft.com/sharepoint/v3"/>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9f316530-3048-4e07-8e45-0e87c16644c0"/>
    <ds:schemaRef ds:uri="dec49823-2944-4274-beff-147767d30e19"/>
    <ds:schemaRef ds:uri="a5f32de4-e402-4188-b034-e71ca7d22e54"/>
    <ds:schemaRef ds:uri="http://schemas.microsoft.com/office/2006/metadata/propertie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61C19E00-72E6-4D34-B5FB-619D9C3A5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2429</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Performance assessment (1) Model policy</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assessment (1) Model policy</dc:title>
  <dc:subject/>
  <dc:creator/>
  <cp:keywords/>
  <dc:description/>
  <cp:lastModifiedBy/>
  <cp:revision>1</cp:revision>
  <dcterms:created xsi:type="dcterms:W3CDTF">2024-12-20T03:46:00Z</dcterms:created>
  <dcterms:modified xsi:type="dcterms:W3CDTF">2024-12-20T03:49:00Z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2edc257a,7ef47990,6c488334,582cd190,6eee9dfa,592a610d</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2024-12-20T03:46:35Z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7e6c4df2-4f0a-4a20-a908-7e45ef95268e</vt:lpwstr>
  </property>
  <property fmtid="{D5CDD505-2E9C-101B-9397-08002B2CF9AE}" pid="11" name="MSIP_Label_4257e2ab-f512-40e2-9c9a-c64247360765_ContentBits">
    <vt:lpwstr>2</vt:lpwstr>
  </property>
  <property fmtid="{D5CDD505-2E9C-101B-9397-08002B2CF9AE}" pid="12" name="a6b8025dacc14cf9b4d4600d95399d54">
    <vt:lpwstr/>
  </property>
  <property fmtid="{D5CDD505-2E9C-101B-9397-08002B2CF9AE}" pid="13" name="Customer Division">
    <vt:lpwstr/>
  </property>
  <property fmtid="{D5CDD505-2E9C-101B-9397-08002B2CF9AE}" pid="14" name="Sub-Section">
    <vt:lpwstr/>
  </property>
  <property fmtid="{D5CDD505-2E9C-101B-9397-08002B2CF9AE}" pid="15" name="Agency">
    <vt:lpwstr>199;#Department of Energy, Environment and Climate Action|6ec2007c-62f7-4367-85b3-4db3e85c504f</vt:lpwstr>
  </property>
  <property fmtid="{D5CDD505-2E9C-101B-9397-08002B2CF9AE}" pid="16" name="Branch">
    <vt:lpwstr>7;#All|8270565e-a836-42c0-aa61-1ac7b0ff14aa</vt:lpwstr>
  </property>
  <property fmtid="{D5CDD505-2E9C-101B-9397-08002B2CF9AE}" pid="17" name="Customer_x0020_Division">
    <vt:lpwstr/>
  </property>
  <property fmtid="{D5CDD505-2E9C-101B-9397-08002B2CF9AE}" pid="18" name="xFooterTitle">
    <vt:lpwstr>Title</vt:lpwstr>
  </property>
  <property fmtid="{D5CDD505-2E9C-101B-9397-08002B2CF9AE}" pid="19" name="o85941e134754762b9719660a258a6e6">
    <vt:lpwstr/>
  </property>
  <property fmtid="{D5CDD505-2E9C-101B-9397-08002B2CF9AE}" pid="20" name="MediaServiceImageTags">
    <vt:lpwstr/>
  </property>
  <property fmtid="{D5CDD505-2E9C-101B-9397-08002B2CF9AE}" pid="21" name="Reference_x0020_Type">
    <vt:lpwstr/>
  </property>
  <property fmtid="{D5CDD505-2E9C-101B-9397-08002B2CF9AE}" pid="22" name="ContentTypeId">
    <vt:lpwstr>0x0101002517F445A0F35E449C98AAD631F2B0383500002F78B235449D4796B05D8B37E1634C</vt:lpwstr>
  </property>
  <property fmtid="{D5CDD505-2E9C-101B-9397-08002B2CF9AE}" pid="23" name="Copyright Licence Name">
    <vt:lpwstr/>
  </property>
  <property fmtid="{D5CDD505-2E9C-101B-9397-08002B2CF9AE}" pid="24" name="Copyright_x0020_Licence_x0020_Name">
    <vt:lpwstr/>
  </property>
  <property fmtid="{D5CDD505-2E9C-101B-9397-08002B2CF9AE}" pid="25" name="df723ab3fe1c4eb7a0b151674e7ac40d">
    <vt:lpwstr/>
  </property>
  <property fmtid="{D5CDD505-2E9C-101B-9397-08002B2CF9AE}" pid="26" name="fc43b7b947f440449bf47a071af25d86">
    <vt:lpwstr/>
  </property>
  <property fmtid="{D5CDD505-2E9C-101B-9397-08002B2CF9AE}" pid="27" name="Division">
    <vt:lpwstr>59;#Strategy and Performance|94e14022-adcf-4c64-ac06-14f905c87fe8</vt:lpwstr>
  </property>
  <property fmtid="{D5CDD505-2E9C-101B-9397-08002B2CF9AE}" pid="28" name="xFooterSubtitle">
    <vt:lpwstr>Subtitle</vt:lpwstr>
  </property>
  <property fmtid="{D5CDD505-2E9C-101B-9397-08002B2CF9AE}" pid="29" name="Dissemination Limiting Marker">
    <vt:lpwstr>2;#FOUO|955eb6fc-b35a-4808-8aa5-31e514fa3f26</vt:lpwstr>
  </property>
  <property fmtid="{D5CDD505-2E9C-101B-9397-08002B2CF9AE}" pid="30" name="Sub_x002d_Section">
    <vt:lpwstr/>
  </property>
  <property fmtid="{D5CDD505-2E9C-101B-9397-08002B2CF9AE}" pid="31" name="ld508a88e6264ce89693af80a72862cb">
    <vt:lpwstr/>
  </property>
  <property fmtid="{D5CDD505-2E9C-101B-9397-08002B2CF9AE}" pid="32" name="Security_x0020_Classification">
    <vt:lpwstr>36;#Public|4cf06271-6744-4b13-adab-7df8d80986af</vt:lpwstr>
  </property>
  <property fmtid="{D5CDD505-2E9C-101B-9397-08002B2CF9AE}" pid="33" name="Month">
    <vt:lpwstr/>
  </property>
  <property fmtid="{D5CDD505-2E9C-101B-9397-08002B2CF9AE}" pid="34" name="Reference Type">
    <vt:lpwstr/>
  </property>
  <property fmtid="{D5CDD505-2E9C-101B-9397-08002B2CF9AE}" pid="35" name="Copyright License Type">
    <vt:lpwstr/>
  </property>
  <property fmtid="{D5CDD505-2E9C-101B-9397-08002B2CF9AE}" pid="36" name="Dissemination_x0020_Limiting_x0020_Marker">
    <vt:lpwstr>2;#FOUO|955eb6fc-b35a-4808-8aa5-31e514fa3f26</vt:lpwstr>
  </property>
  <property fmtid="{D5CDD505-2E9C-101B-9397-08002B2CF9AE}" pid="37" name="_dlc_DocIdItemGuid">
    <vt:lpwstr>7eda9a8c-2b90-4c0b-a5fd-ed73fb746b15</vt:lpwstr>
  </property>
  <property fmtid="{D5CDD505-2E9C-101B-9397-08002B2CF9AE}" pid="38" name="Copyright_x0020_License_x0020_Type">
    <vt:lpwstr/>
  </property>
  <property fmtid="{D5CDD505-2E9C-101B-9397-08002B2CF9AE}" pid="39" name="Group1">
    <vt:lpwstr>5;#Corporate Services|583021de-5b88-4fc0-9d26-f0e13a42b826</vt:lpwstr>
  </property>
  <property fmtid="{D5CDD505-2E9C-101B-9397-08002B2CF9AE}" pid="40" name="Security Classification">
    <vt:lpwstr>36;#Public|4cf06271-6744-4b13-adab-7df8d80986af</vt:lpwstr>
  </property>
  <property fmtid="{D5CDD505-2E9C-101B-9397-08002B2CF9AE}" pid="41" name="Section">
    <vt:lpwstr/>
  </property>
  <property fmtid="{D5CDD505-2E9C-101B-9397-08002B2CF9AE}" pid="42" name="_MarkAsFinal">
    <vt:bool>true</vt:bool>
  </property>
</Properties>
</file>